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160" w:vertAnchor="text" w:horzAnchor="text" w:tblpX="0" w:tblpY="182"/>
        <w:tblW w:w="9356.0" w:type="dxa"/>
        <w:jc w:val="left"/>
        <w:tblBorders>
          <w:top w:color="000000" w:space="0" w:sz="4" w:val="single"/>
          <w:bottom w:color="000000" w:space="0" w:sz="4" w:val="single"/>
        </w:tblBorders>
        <w:tblLayout w:type="fixed"/>
        <w:tblLook w:val="0400"/>
      </w:tblPr>
      <w:tblGrid>
        <w:gridCol w:w="2141"/>
        <w:gridCol w:w="7215"/>
        <w:tblGridChange w:id="0">
          <w:tblGrid>
            <w:gridCol w:w="2141"/>
            <w:gridCol w:w="7215"/>
          </w:tblGrid>
        </w:tblGridChange>
      </w:tblGrid>
      <w:tr>
        <w:trPr>
          <w:cantSplit w:val="0"/>
          <w:trHeight w:val="510" w:hRule="atLeast"/>
          <w:tblHeader w:val="0"/>
        </w:trPr>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2">
            <w:pPr>
              <w:spacing w:after="120" w:line="288" w:lineRule="auto"/>
              <w:rPr>
                <w:rFonts w:ascii="Times New Roman" w:cs="Times New Roman" w:eastAsia="Times New Roman" w:hAnsi="Times New Roman"/>
                <w:b w:val="1"/>
                <w:bCs w:val="1"/>
                <w:sz w:val="24"/>
                <w:szCs w:val="24"/>
              </w:rPr>
            </w:pPr>
            <w:bookmarkStart w:colFirst="0" w:colLast="0" w:name="_heading=h.xyb0pffjci40" w:id="0"/>
            <w:bookmarkEnd w:id="0"/>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1209675" cy="1714500"/>
                  <wp:effectExtent b="0" l="0" r="0" t="0"/>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209675" cy="1714500"/>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3">
            <w:pPr>
              <w:spacing w:after="120" w:line="288"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5">
            <w:pPr>
              <w:spacing w:after="120" w:line="28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after="120" w:line="288"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Working Paper 2026.2.3.6 </w:t>
            </w:r>
            <w:r w:rsidDel="00000000" w:rsidR="00000000" w:rsidRPr="00000000">
              <w:rPr>
                <w:rtl w:val="0"/>
              </w:rPr>
            </w:r>
          </w:p>
          <w:p w:rsidR="00000000" w:rsidDel="00000000" w:rsidP="00000000" w:rsidRDefault="00000000" w:rsidRPr="00000000" w14:paraId="00000007">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Vol.2 , No. 3</w:t>
            </w:r>
          </w:p>
          <w:p w:rsidR="00000000" w:rsidDel="00000000" w:rsidP="00000000" w:rsidRDefault="00000000" w:rsidRPr="00000000" w14:paraId="00000008">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04" w:hRule="atLeast"/>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0A">
            <w:pPr>
              <w:spacing w:after="120" w:line="288" w:lineRule="auto"/>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0B">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ẢNH HƯỞNG CỦA TRÁCH NHIỆM XÃ HỘI CỦA TRƯỜNG ĐẠI HỌC ĐẾN HÌNH ẢNH CƠ SỞ THÔNG QUA QUAN HỆ TRUYỀN THÔNG: NGHIÊN CỨU TẠI CƠ SỞ 2 TRƯỜNG ĐẠI HỌC NGOẠI THƯƠNG TẠI TP. HỒ CHÍ MINH</w:t>
      </w:r>
    </w:p>
    <w:p w:rsidR="00000000" w:rsidDel="00000000" w:rsidP="00000000" w:rsidRDefault="00000000" w:rsidRPr="00000000" w14:paraId="0000000C">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Trần Bảo Yến</w:t>
      </w:r>
      <w:r w:rsidDel="00000000" w:rsidR="00000000" w:rsidRPr="00000000">
        <w:rPr>
          <w:rFonts w:ascii="Times New Roman" w:cs="Times New Roman" w:eastAsia="Times New Roman" w:hAnsi="Times New Roman"/>
          <w:b w:val="1"/>
          <w:bCs w:val="1"/>
          <w:sz w:val="24"/>
          <w:szCs w:val="24"/>
          <w:vertAlign w:val="superscript"/>
        </w:rPr>
        <w:footnoteReference w:customMarkFollows="0" w:id="0"/>
      </w:r>
      <w:r w:rsidDel="00000000" w:rsidR="00000000" w:rsidRPr="00000000">
        <w:rPr>
          <w:rFonts w:ascii="Times New Roman" w:cs="Times New Roman" w:eastAsia="Times New Roman" w:hAnsi="Times New Roman"/>
          <w:b w:val="1"/>
          <w:bCs w:val="1"/>
          <w:sz w:val="24"/>
          <w:szCs w:val="24"/>
          <w:rtl w:val="0"/>
        </w:rPr>
        <w:t xml:space="preserve">, Cao Thị Như Ý, Huỳnh Minh Thy</w:t>
      </w:r>
    </w:p>
    <w:p w:rsidR="00000000" w:rsidDel="00000000" w:rsidP="00000000" w:rsidRDefault="00000000" w:rsidRPr="00000000" w14:paraId="0000000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Sinh viên Khóa 63 - CLC Kinh tế đối ngoại - Khoa Kinh doanh &amp; Thương mại quốc tế</w:t>
      </w:r>
    </w:p>
    <w:p w:rsidR="00000000" w:rsidDel="00000000" w:rsidP="00000000" w:rsidRDefault="00000000" w:rsidRPr="00000000" w14:paraId="0000000E">
      <w:pPr>
        <w:spacing w:after="120" w:line="288"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Phân hiệu Trường Đại học Ngoại thương, Thành phố Hồ Chí Minh, Việt Nam</w:t>
      </w:r>
    </w:p>
    <w:p w:rsidR="00000000" w:rsidDel="00000000" w:rsidP="00000000" w:rsidRDefault="00000000" w:rsidRPr="00000000" w14:paraId="0000000F">
      <w:pPr>
        <w:spacing w:after="120" w:line="288" w:lineRule="auto"/>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0">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Lê Hằng Mỹ Hạnh, Nguyễn Thị Huỳnh Giao </w:t>
      </w:r>
    </w:p>
    <w:p w:rsidR="00000000" w:rsidDel="00000000" w:rsidP="00000000" w:rsidRDefault="00000000" w:rsidRPr="00000000" w14:paraId="0000001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Giảng viên Bộ môn Kinh tế - Luật</w:t>
      </w:r>
    </w:p>
    <w:p w:rsidR="00000000" w:rsidDel="00000000" w:rsidP="00000000" w:rsidRDefault="00000000" w:rsidRPr="00000000" w14:paraId="00000012">
      <w:pPr>
        <w:spacing w:after="120" w:line="288"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Phân hiệu Trường Đại học Ngoại thương, Thành phố Hồ Chí Minh, Việt Nam</w:t>
      </w:r>
    </w:p>
    <w:p w:rsidR="00000000" w:rsidDel="00000000" w:rsidP="00000000" w:rsidRDefault="00000000" w:rsidRPr="00000000" w14:paraId="00000013">
      <w:pPr>
        <w:pBdr>
          <w:top w:color="000000" w:space="1" w:sz="4" w:val="single"/>
        </w:pBdr>
        <w:spacing w:after="120" w:line="288" w:lineRule="auto"/>
        <w:ind w:right="48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Tóm tắt</w:t>
      </w:r>
    </w:p>
    <w:p w:rsidR="00000000" w:rsidDel="00000000" w:rsidP="00000000" w:rsidRDefault="00000000" w:rsidRPr="00000000" w14:paraId="00000014">
      <w:pPr>
        <w:spacing w:after="120" w:line="288" w:lineRule="auto"/>
        <w:ind w:right="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bối cảnh yêu cầu của công chúng đối với tính minh bạch của các tổ chức và sự gắn kết với xã hội ngày càng gia tăng, các trường đại học đang triển khai Trách nhiệm xã hội nhằm phù hợp với các giá trị môi trường và xã hội. Nghiên cứu này nhằm đánh giá tác động của việc thực hành USR đến hình ảnh cơ sở của Cơ sở II Trường Đại học Ngoại thương tại TP.HCM, đồng thời xem xét vai trò của quan hệ truyền thông trong việc hình thành nhận thức của sinh viên về hình ảnh cơ sở dựa trên nền tảng lý thuyết các bên liên quan và khung chiến lược truyền thông. Nghiên cứu sử dụng phương pháp định lượng, tiến hành khảo sát theo cấu trúc đối với sinh viên Cơ sở II - một bên liên quan quan trọng và là đối tượng trực tiếp tiếp nhận các hoạt động truyền thông cũng như dịch vụ của trường. Kết quả nghiên cứu cho thấy mối quan hệ tích cực giữa các hoạt động USR và hình ảnh cơ sở, đồng thời quan hệ truyền thông góp phần nâng cao mức độ hiển thị và sự gắn kết của các bên liên quan, qua đó hỗ trợ việc hình thành hình ảnh cơ sở. Nghiên cứu đóng góp điểm mới bằng việc làm rõ vai trò của quan hệ truyền thông trong mối quan hệ giữa USR và hình ảnh cơ sở, một khía cạnh còn ít được nghiên cứu trong bối cảnh các cơ sở giáo dục đại học tại Việt Nam. Nghiên cứu còn đóng góp lý thuyết về mối quan hệ giữa USR, quan hệ truyền thông và xây dựng thương hiệu tổ chức, đồng thời đề xuất các khuyến nghị thực tiễn cho các cơ sở giáo dục đại học trong việc xây dựng uy tín trước công chúng thông qua các chiến lược trách nhiệm xã hội và truyền thông một cách có hệ thống.</w:t>
      </w:r>
    </w:p>
    <w:p w:rsidR="00000000" w:rsidDel="00000000" w:rsidP="00000000" w:rsidRDefault="00000000" w:rsidRPr="00000000" w14:paraId="00000015">
      <w:pPr>
        <w:spacing w:after="120" w:line="288" w:lineRule="auto"/>
        <w:ind w:right="48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Từ khoá</w:t>
      </w:r>
      <w:r w:rsidDel="00000000" w:rsidR="00000000" w:rsidRPr="00000000">
        <w:rPr>
          <w:rFonts w:ascii="Times New Roman" w:cs="Times New Roman" w:eastAsia="Times New Roman" w:hAnsi="Times New Roman"/>
          <w:sz w:val="24"/>
          <w:szCs w:val="24"/>
          <w:rtl w:val="0"/>
        </w:rPr>
        <w:t xml:space="preserve">: Thực hiện USR, Hình ảnh cơ sở, Quan hệ truyền thông, Trường Đại học Ngoại thương - Cơ sở II Thành phố Hồ Chí Minh, nhận thức sinh viên.</w:t>
      </w:r>
      <w:r w:rsidDel="00000000" w:rsidR="00000000" w:rsidRPr="00000000">
        <w:rPr>
          <w:rtl w:val="0"/>
        </w:rPr>
      </w:r>
    </w:p>
    <w:p w:rsidR="00000000" w:rsidDel="00000000" w:rsidP="00000000" w:rsidRDefault="00000000" w:rsidRPr="00000000" w14:paraId="00000016">
      <w:pPr>
        <w:spacing w:after="120" w:line="288" w:lineRule="auto"/>
        <w:ind w:right="48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spacing w:after="120" w:line="288" w:lineRule="auto"/>
        <w:ind w:right="48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THE INFLUENCE OF UNIVERSITY SOCIAL RESPONSIBILITY ON CAMPUS  IMAGE THROUGH MEDIA RELATIONS: A CASE STUDY IN FOREIGN TRADE UNIVERSITY HO CHI MINH CITY CAMPUS</w:t>
      </w:r>
      <w:r w:rsidDel="00000000" w:rsidR="00000000" w:rsidRPr="00000000">
        <w:rPr>
          <w:rtl w:val="0"/>
        </w:rPr>
      </w:r>
    </w:p>
    <w:p w:rsidR="00000000" w:rsidDel="00000000" w:rsidP="00000000" w:rsidRDefault="00000000" w:rsidRPr="00000000" w14:paraId="00000018">
      <w:pPr>
        <w:spacing w:after="120" w:line="288" w:lineRule="auto"/>
        <w:ind w:right="48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19">
      <w:pPr>
        <w:spacing w:after="120" w:line="288" w:lineRule="auto"/>
        <w:ind w:right="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public demands for institutional transparency and social engagement increase, universities are adopting USR to align with environmental and societal values. The study investigates the impact of USR initiatives on the campus image of the FTU HCMC, while also examining the role of media relations in shaping students’ perceptions of campus image, based on stakeholder theory and the communication strategy framework. The research utilized a quantitative approach, conducting a structured survey of FTU HCMC students, who are among the significant stakeholders and direct recipients of the university's communication activities and services. The findings indicate a positive relationship between USR activities and campus image, and media relations play a supportive role by enhancing visibility and stakeholder engagement in the formation of campus image. The study contributes to the literature by highlighting the role of media relations in the relationship between USR and campus image within Vietnamese higher education institutions. It also offers theoretical implications for the relationship among USR, media communication, and institutional branding, as well as practical recommendations for higher education institutions seeking to build their public reputation through strategic social responsibility and communication initiatives.</w:t>
      </w:r>
    </w:p>
    <w:p w:rsidR="00000000" w:rsidDel="00000000" w:rsidP="00000000" w:rsidRDefault="00000000" w:rsidRPr="00000000" w14:paraId="0000001A">
      <w:pPr>
        <w:pBdr>
          <w:bottom w:color="000000" w:space="1" w:sz="4" w:val="single"/>
        </w:pBdr>
        <w:spacing w:after="120" w:line="288" w:lineRule="auto"/>
        <w:ind w:right="48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USR, Campus Image, Media Relations, Foreign Trade University Ho Chi Minh City Campus, student perception.</w:t>
      </w:r>
      <w:r w:rsidDel="00000000" w:rsidR="00000000" w:rsidRPr="00000000">
        <w:rPr>
          <w:rtl w:val="0"/>
        </w:rPr>
      </w:r>
    </w:p>
    <w:p w:rsidR="00000000" w:rsidDel="00000000" w:rsidP="00000000" w:rsidRDefault="00000000" w:rsidRPr="00000000" w14:paraId="0000001B">
      <w:pPr>
        <w:pStyle w:val="Heading1"/>
        <w:spacing w:before="0" w:line="288" w:lineRule="auto"/>
        <w:rPr/>
      </w:pPr>
      <w:r w:rsidDel="00000000" w:rsidR="00000000" w:rsidRPr="00000000">
        <w:rPr>
          <w:rtl w:val="0"/>
        </w:rPr>
        <w:t xml:space="preserve">I. Introduction</w:t>
      </w:r>
    </w:p>
    <w:p w:rsidR="00000000" w:rsidDel="00000000" w:rsidP="00000000" w:rsidRDefault="00000000" w:rsidRPr="00000000" w14:paraId="0000001C">
      <w:pPr>
        <w:spacing w:after="120" w:line="288" w:lineRule="auto"/>
        <w:ind w:firstLine="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concept of CSR has deep historical roots in business area and has been expanded into various domains, including higher education (Carroll, 1999), giving rise to USR which reflects how universities interact with society through teaching, research, and community engagement (Esfijani et al., 2012; Alshuwaikhat &amp; Abubakar, 2008). This is an adaptation of CSR tailored to the academic context, emphasizing universities’ responsibility toward both internal and external factors (Vallaeys, 2014), requires them to deliver not only academic excellence but also to act ethically and morally for sustainable development. While the influence of CSR on corporate reputation has been extensively studied, research on USR, particularly its impact on campus image through media relations (MR) remains limited. Therefore, media communication is significant in the presentation of the social responsibility initiatives of universities to stakeholders in institutions of higher learning. Thus, the correlation between the application of USR, media relations, and image of the campus could give a greater understanding of the impact of responsible practices and communication approaches on the reinforcement of institutional reputation.</w:t>
      </w:r>
    </w:p>
    <w:p w:rsidR="00000000" w:rsidDel="00000000" w:rsidP="00000000" w:rsidRDefault="00000000" w:rsidRPr="00000000" w14:paraId="0000001D">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study, we focus on investigating the impact of USR initiatives on the campus image of FTU HCMC, with MR as a mediating variable. With the prestigious FTU headquartered in Hanoi, FTU HCMC acts as a crucial role in spreading the university’s academic and social mission to the south of Vietnam. Moreover, beyond the functional academic function, FTU HCMC has increasingly committed to USR through integrating social and environmental values into its curriculum, student activities and community initiatives as to polish its image as a driver for sustainable development, in the public eyes (Foreign Trade University, 2021). While FTU HCMC’s USR efforts may be strong, their visibility depends largely on how effectively they are communicated. Hence, FTU HCMC represents a compelling case for studying the intersection of USR, media communication, and campus image.</w:t>
      </w:r>
    </w:p>
    <w:p w:rsidR="00000000" w:rsidDel="00000000" w:rsidP="00000000" w:rsidRDefault="00000000" w:rsidRPr="00000000" w14:paraId="0000001E">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prior studies, researchers had found that explicit USR effort would significantly enhance university image and build trust with stakeholder and community if communicating strategically through media communication (Suhardiyah et al., n.d.; Kurniawan et al., 2020; Albu &amp; Christensen, 2024). In Vietnam, research on private universities shows that when strategically promoted, USR fosters brand equity effectively (Tran, M. T., &amp; Lam, D. X. H, 2025). FTU HCMC, however, has not been systematically examined through these lenses in Vietnam. As a result, examining FTU HCMC would both provide theoretical insight and practical guidance for enhancing institutional reputation through effective communication via MR.</w:t>
      </w:r>
    </w:p>
    <w:p w:rsidR="00000000" w:rsidDel="00000000" w:rsidP="00000000" w:rsidRDefault="00000000" w:rsidRPr="00000000" w14:paraId="0000001F">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Multi-campus universities such as FTU have to differentiate between university image and campus image because campus image is influenced by the particular activities and operations of a particular campus (Dowling, 2001). Campus image thus implies the perception of stakeholders to the campus setting, programs, and interaction activities. FTU HCMC is not only perceived through its initiatives related to the USR but also the way it communicates them to the students and the population. The stakeholder theory asserts that there are various stakeholder expectations that have to be met by organizations to influence institutional reputation (Freeman). Nonetheless, although the interest in USR has been increasing, the role of the variables of media is not well examined in Vietnamese higher education institutions.</w:t>
      </w:r>
    </w:p>
    <w:p w:rsidR="00000000" w:rsidDel="00000000" w:rsidP="00000000" w:rsidRDefault="00000000" w:rsidRPr="00000000" w14:paraId="00000020">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uses quantitative research design and collects data through surveys. The students are chosen as the target respondents due to their position as the main audience of the media activities of FTU HCMC and direct beneficiaries of the university services their perceptions become central to the development of the campus image.</w:t>
      </w:r>
    </w:p>
    <w:p w:rsidR="00000000" w:rsidDel="00000000" w:rsidP="00000000" w:rsidRDefault="00000000" w:rsidRPr="00000000" w14:paraId="00000021">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study aims to investigate the impact of USR initiatives on campus image and determine the role of MR as an intervening variable. It also evaluates how well communication strategies at FTU HCMC communicate USR efforts and improve the university’s visibility.</w:t>
      </w:r>
    </w:p>
    <w:p w:rsidR="00000000" w:rsidDel="00000000" w:rsidP="00000000" w:rsidRDefault="00000000" w:rsidRPr="00000000" w14:paraId="00000022">
      <w:pPr>
        <w:pStyle w:val="Heading1"/>
        <w:spacing w:before="0" w:line="288" w:lineRule="auto"/>
        <w:rPr/>
      </w:pPr>
      <w:bookmarkStart w:colFirst="0" w:colLast="0" w:name="_heading=h.q5pxi8q9a5fh" w:id="1"/>
      <w:bookmarkEnd w:id="1"/>
      <w:r w:rsidDel="00000000" w:rsidR="00000000" w:rsidRPr="00000000">
        <w:rPr>
          <w:rtl w:val="0"/>
        </w:rPr>
        <w:t xml:space="preserve">II. Research concepts and hypotheses development </w:t>
      </w:r>
    </w:p>
    <w:p w:rsidR="00000000" w:rsidDel="00000000" w:rsidP="00000000" w:rsidRDefault="00000000" w:rsidRPr="00000000" w14:paraId="00000023">
      <w:pPr>
        <w:pStyle w:val="Heading2"/>
        <w:spacing w:after="0" w:lineRule="auto"/>
        <w:rPr/>
      </w:pPr>
      <w:bookmarkStart w:colFirst="0" w:colLast="0" w:name="_heading=h.2vwdv957eso0" w:id="2"/>
      <w:bookmarkEnd w:id="2"/>
      <w:r w:rsidDel="00000000" w:rsidR="00000000" w:rsidRPr="00000000">
        <w:rPr>
          <w:rtl w:val="0"/>
        </w:rPr>
        <w:t xml:space="preserve">2.1. University Social Responsibility</w:t>
      </w:r>
    </w:p>
    <w:p w:rsidR="00000000" w:rsidDel="00000000" w:rsidP="00000000" w:rsidRDefault="00000000" w:rsidRPr="00000000" w14:paraId="00000024">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Social Responsibility (USR) conceptually draws upon Corporate Social Responsibility (CSR), which has been developed from a broader concept of social responsibility and has been transformed into a multidimensional concept with a focus on social, ethical, and environmental responsibility (Hernandez, 2016). Since Bowen’s (1953) original conceptualization of CSR and Carroll’s (1991) four-dimensional model of CSR comprising economic, legal, ethical, and philanthropic responsibility, CSR has been considered from a stakeholder perspective. Although Carroll’s model has been criticized for its Western-centric and rigid structure (Crane et al., 2008), stakeholder approaches to CSR (Freeman, 1984; Woodward-Clyde, 1999) have extended the utility of CSR by incorporating value-creation concepts for various stakeholder groups.</w:t>
      </w:r>
    </w:p>
    <w:p w:rsidR="00000000" w:rsidDel="00000000" w:rsidP="00000000" w:rsidRDefault="00000000" w:rsidRPr="00000000" w14:paraId="00000025">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this, USR applies the CSR concept to the context of higher education, conceptualizing universities not only as learning institutions but also as instruments of social change (Sawasdikosol, 2009). USR emphasizes the social, ethical, environmental, and academic roles of higher education institutions (HEIs), which correspond to their role in promoting sustainable development and community welfare (Latif et al., 2022; Ismail &amp; Shujaat, 2019). Based on stakeholder theory, USR identifies students as important stakeholders whose views have a significant impact on the reputation of the institution, with faculty and staff as implementers of USR strategies (Phan et al., 2021).</w:t>
      </w:r>
    </w:p>
    <w:p w:rsidR="00000000" w:rsidDel="00000000" w:rsidP="00000000" w:rsidRDefault="00000000" w:rsidRPr="00000000" w14:paraId="00000026">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Empirical studies indicate that there is a positive correlation between USR and the image of the university, and that USR programs help to boost trust, perceived quality, and cognitive and affective judgments of students (Vazquez et al., 2015; Atiqah, 2019; Widiyanti et al., 2023). In terms of the stakeholder theory, the socially responsible universities will have higher chances of achieving legitimacy and positive public analysis. Nevertheless, the results are situational since the beneficial outcomes in Pakistan were not always similar in China (Latif et al., 2022).</w:t>
      </w:r>
    </w:p>
    <w:p w:rsidR="00000000" w:rsidDel="00000000" w:rsidP="00000000" w:rsidRDefault="00000000" w:rsidRPr="00000000" w14:paraId="00000027">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recent research indicates that the USR initiatives do not necessarily lead to the favorable campus or brand image unless the stakeholders know about and can read those efforts. This has compelled researchers to use MR as an intervening factor. MR, as one of the fundamental PR functions, aims at establishing relationships with the media in order to influence the way people think (Bernays, 1952; Bland et al., 2005).</w:t>
      </w:r>
    </w:p>
    <w:p w:rsidR="00000000" w:rsidDel="00000000" w:rsidP="00000000" w:rsidRDefault="00000000" w:rsidRPr="00000000" w14:paraId="00000028">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mediating role is empirically supported where the communication of the USR to the media effectively increases brand equity of the university. According to the previous literature, frequency, credibility, and interactivity of communication are of paramount importance in the context of assessing whether USR initiatives prove helpful in image building (Mutwiri et al., 2022).</w:t>
      </w:r>
    </w:p>
    <w:p w:rsidR="00000000" w:rsidDel="00000000" w:rsidP="00000000" w:rsidRDefault="00000000" w:rsidRPr="00000000" w14:paraId="00000029">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case of multi-campus universities like FTU, the distinction between university image and campus image is important, as specific operations and activities of a single campus distinctively form the latter rather than the whole institution (Dowling, 2001). Therefore, campus image reflects the perspective of stakeholders towards its environment, programs and engaging activities conducted by the campus. Based on this, the perception of the campus of FTU HCMC by USR activities is not only the one driven by the programs but also the manner in which the programs are conveyed to the students and the masses. R. Edward Freeman has stated in his stakeholder theory, organizations have to address multiple stakeholder groups’ expectations, whose perceptions partially influence and form institutional reputation. Although there is an increasing interest in USR, the variables of media are not well investigated especially within the Vietnamese higher learning institutions. Because of that, this study examines how USR initiatives, which are illustrated through media relations, yield the formation of the FTU Ho Chi Minh City campus image.</w:t>
      </w:r>
    </w:p>
    <w:p w:rsidR="00000000" w:rsidDel="00000000" w:rsidP="00000000" w:rsidRDefault="00000000" w:rsidRPr="00000000" w14:paraId="0000002A">
      <w:pPr>
        <w:pStyle w:val="Heading2"/>
        <w:spacing w:after="0" w:lineRule="auto"/>
        <w:rPr/>
      </w:pPr>
      <w:bookmarkStart w:colFirst="0" w:colLast="0" w:name="_heading=h.mqyo99ppwbtv" w:id="3"/>
      <w:bookmarkEnd w:id="3"/>
      <w:r w:rsidDel="00000000" w:rsidR="00000000" w:rsidRPr="00000000">
        <w:rPr>
          <w:rtl w:val="0"/>
        </w:rPr>
        <w:t xml:space="preserve">2.2. Hypotheses development and research model </w:t>
      </w:r>
    </w:p>
    <w:p w:rsidR="00000000" w:rsidDel="00000000" w:rsidP="00000000" w:rsidRDefault="00000000" w:rsidRPr="00000000" w14:paraId="0000002B">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main theoretical basis of this work is the Stakeholder Theory (Freeman, 1984). This theory provides that in a higher education setting, organizations have to respond to the demands of various bodies of stakeholders such as students, staff and the community at large. Based on this, it is theorized that USR implementation is the institutionalization of the university to meet the expectations of the stakeholders and MR is the communication channel to communicate efforts to the stakeholders, which may influence campus image.</w:t>
      </w:r>
    </w:p>
    <w:p w:rsidR="00000000" w:rsidDel="00000000" w:rsidP="00000000" w:rsidRDefault="00000000" w:rsidRPr="00000000" w14:paraId="0000002C">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same theoretical framework and previous empirical results, it is proposed to test the relationships between USR implementation and MR and CI using three hypotheses at FTU HCMC.</w:t>
      </w:r>
    </w:p>
    <w:p w:rsidR="00000000" w:rsidDel="00000000" w:rsidP="00000000" w:rsidRDefault="00000000" w:rsidRPr="00000000" w14:paraId="0000002D">
      <w:pPr>
        <w:spacing w:after="120" w:line="288"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H1: </w:t>
      </w:r>
      <w:r w:rsidDel="00000000" w:rsidR="00000000" w:rsidRPr="00000000">
        <w:rPr>
          <w:rFonts w:ascii="Times New Roman" w:cs="Times New Roman" w:eastAsia="Times New Roman" w:hAnsi="Times New Roman"/>
          <w:i w:val="1"/>
          <w:iCs w:val="1"/>
          <w:sz w:val="24"/>
          <w:szCs w:val="24"/>
          <w:rtl w:val="0"/>
        </w:rPr>
        <w:t xml:space="preserve">USR implementation has a positive impact on media relations at FTU HCMC </w:t>
      </w:r>
    </w:p>
    <w:p w:rsidR="00000000" w:rsidDel="00000000" w:rsidP="00000000" w:rsidRDefault="00000000" w:rsidRPr="00000000" w14:paraId="0000002E">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hypothesis is based on the fact that effective USR programs produce authoritative and newsworthy materials, with more positive and productive media coverage (Amani, 2024). It was also stated that social initiatives can attract more attention from the media, along with enhancing the bond between organizations and the media (Cahan et al., 2015).</w:t>
      </w:r>
    </w:p>
    <w:p w:rsidR="00000000" w:rsidDel="00000000" w:rsidP="00000000" w:rsidRDefault="00000000" w:rsidRPr="00000000" w14:paraId="0000002F">
      <w:pPr>
        <w:spacing w:after="120" w:line="288"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H2: </w:t>
      </w:r>
      <w:r w:rsidDel="00000000" w:rsidR="00000000" w:rsidRPr="00000000">
        <w:rPr>
          <w:rFonts w:ascii="Times New Roman" w:cs="Times New Roman" w:eastAsia="Times New Roman" w:hAnsi="Times New Roman"/>
          <w:i w:val="1"/>
          <w:iCs w:val="1"/>
          <w:sz w:val="24"/>
          <w:szCs w:val="24"/>
          <w:rtl w:val="0"/>
        </w:rPr>
        <w:t xml:space="preserve">Media relations have a positive effect on the campus image of FTU HCMC.</w:t>
      </w:r>
    </w:p>
    <w:p w:rsidR="00000000" w:rsidDel="00000000" w:rsidP="00000000" w:rsidRDefault="00000000" w:rsidRPr="00000000" w14:paraId="00000030">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Proper media relations can increase the level of clarity, visibility, and credibility of the message, which is important in developing the institutional image of key stakeholders. To help publicize and disseminate the information, along with strengthening the institutional image, fostering effective communication with the media is important (Kotler &amp; Keller, 2016).</w:t>
      </w:r>
    </w:p>
    <w:p w:rsidR="00000000" w:rsidDel="00000000" w:rsidP="00000000" w:rsidRDefault="00000000" w:rsidRPr="00000000" w14:paraId="00000031">
      <w:pPr>
        <w:spacing w:after="120" w:line="288"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H3:</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USR implementation positively influences the campus image of FTU HCMC.</w:t>
      </w:r>
    </w:p>
    <w:p w:rsidR="00000000" w:rsidDel="00000000" w:rsidP="00000000" w:rsidRDefault="00000000" w:rsidRPr="00000000" w14:paraId="00000032">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Stakeholder wise, universities which take social and community responsibility are more credible, trusted and socially committed hence enhancing campus image. It has also been indicated in a previous research, that social responsibility initiatives have significant contribution in forming up the organization reputation among stakeholders (Carroll, 1991; Plungpongpan et al., 2013).</w:t>
      </w:r>
    </w:p>
    <w:p w:rsidR="00000000" w:rsidDel="00000000" w:rsidP="00000000" w:rsidRDefault="00000000" w:rsidRPr="00000000" w14:paraId="00000033">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the analysis of key variables and the proposed hypotheses, the following research framework is developed.</w:t>
      </w:r>
    </w:p>
    <w:p w:rsidR="00000000" w:rsidDel="00000000" w:rsidP="00000000" w:rsidRDefault="00000000" w:rsidRPr="00000000" w14:paraId="00000034">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539686" cy="1654810"/>
            <wp:effectExtent b="0" l="0" r="0" t="0"/>
            <wp:docPr id="5" name="image1.png"/>
            <a:graphic>
              <a:graphicData uri="http://schemas.openxmlformats.org/drawingml/2006/picture">
                <pic:pic>
                  <pic:nvPicPr>
                    <pic:cNvPr id="0" name="image1.png"/>
                    <pic:cNvPicPr preferRelativeResize="0"/>
                  </pic:nvPicPr>
                  <pic:blipFill>
                    <a:blip r:embed="rId9"/>
                    <a:srcRect b="0" l="3379" r="0" t="0"/>
                    <a:stretch>
                      <a:fillRect/>
                    </a:stretch>
                  </pic:blipFill>
                  <pic:spPr>
                    <a:xfrm>
                      <a:off x="0" y="0"/>
                      <a:ext cx="5539686" cy="165481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1:</w:t>
      </w:r>
      <w:r w:rsidDel="00000000" w:rsidR="00000000" w:rsidRPr="00000000">
        <w:rPr>
          <w:rFonts w:ascii="Times New Roman" w:cs="Times New Roman" w:eastAsia="Times New Roman" w:hAnsi="Times New Roman"/>
          <w:sz w:val="24"/>
          <w:szCs w:val="24"/>
          <w:rtl w:val="0"/>
        </w:rPr>
        <w:t xml:space="preserve"> Research framework</w:t>
      </w:r>
    </w:p>
    <w:p w:rsidR="00000000" w:rsidDel="00000000" w:rsidP="00000000" w:rsidRDefault="00000000" w:rsidRPr="00000000" w14:paraId="00000036">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Synthesised by the author (2025)</w:t>
      </w:r>
      <w:r w:rsidDel="00000000" w:rsidR="00000000" w:rsidRPr="00000000">
        <w:rPr>
          <w:rtl w:val="0"/>
        </w:rPr>
      </w:r>
    </w:p>
    <w:p w:rsidR="00000000" w:rsidDel="00000000" w:rsidP="00000000" w:rsidRDefault="00000000" w:rsidRPr="00000000" w14:paraId="00000037">
      <w:pPr>
        <w:spacing w:after="120" w:line="288" w:lineRule="auto"/>
        <w:ind w:firstLine="426"/>
        <w:rPr>
          <w:rFonts w:ascii="Times New Roman" w:cs="Times New Roman" w:eastAsia="Times New Roman" w:hAnsi="Times New Roman"/>
          <w:sz w:val="24"/>
          <w:szCs w:val="24"/>
        </w:rPr>
      </w:pPr>
      <w:bookmarkStart w:colFirst="0" w:colLast="0" w:name="_heading=h.ct2nneechf5a" w:id="4"/>
      <w:bookmarkEnd w:id="4"/>
      <w:r w:rsidDel="00000000" w:rsidR="00000000" w:rsidRPr="00000000">
        <w:rPr>
          <w:rFonts w:ascii="Times New Roman" w:cs="Times New Roman" w:eastAsia="Times New Roman" w:hAnsi="Times New Roman"/>
          <w:sz w:val="24"/>
          <w:szCs w:val="24"/>
          <w:rtl w:val="0"/>
        </w:rPr>
        <w:t xml:space="preserve">Within this structure, H3 depicts a direct relationship between USR and campus image, in that USR activities could create positive images for the university independently. In this instance, USR influences campus image indirectly through its impact on MR.</w:t>
      </w:r>
    </w:p>
    <w:p w:rsidR="00000000" w:rsidDel="00000000" w:rsidP="00000000" w:rsidRDefault="00000000" w:rsidRPr="00000000" w14:paraId="00000038">
      <w:pPr>
        <w:pStyle w:val="Heading1"/>
        <w:spacing w:before="0" w:line="288" w:lineRule="auto"/>
        <w:rPr/>
      </w:pPr>
      <w:bookmarkStart w:colFirst="0" w:colLast="0" w:name="_heading=h.l1bun84z04f" w:id="5"/>
      <w:bookmarkEnd w:id="5"/>
      <w:r w:rsidDel="00000000" w:rsidR="00000000" w:rsidRPr="00000000">
        <w:rPr>
          <w:rtl w:val="0"/>
        </w:rPr>
        <w:t xml:space="preserve">III. Methodology </w:t>
      </w:r>
    </w:p>
    <w:p w:rsidR="00000000" w:rsidDel="00000000" w:rsidP="00000000" w:rsidRDefault="00000000" w:rsidRPr="00000000" w14:paraId="00000039">
      <w:pPr>
        <w:pStyle w:val="Heading2"/>
        <w:spacing w:after="0" w:lineRule="auto"/>
        <w:rPr/>
      </w:pPr>
      <w:bookmarkStart w:colFirst="0" w:colLast="0" w:name="_heading=h.d63xjib0fq02" w:id="6"/>
      <w:bookmarkEnd w:id="6"/>
      <w:r w:rsidDel="00000000" w:rsidR="00000000" w:rsidRPr="00000000">
        <w:rPr>
          <w:rtl w:val="0"/>
        </w:rPr>
        <w:t xml:space="preserve">3.1. Econometric Model Specification</w:t>
      </w:r>
    </w:p>
    <w:p w:rsidR="00000000" w:rsidDel="00000000" w:rsidP="00000000" w:rsidRDefault="00000000" w:rsidRPr="00000000" w14:paraId="0000003A">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the proposed hypotheses and the relationships among the variables analyzed above, a linear regression framework can be specified to empirically test the effects of USR and MR on the campus image of FTU HCMC. Following stakeholder theory and prior empirical studies, the functional form of the econometric model is expressed as:</w:t>
      </w:r>
    </w:p>
    <w:p w:rsidR="00000000" w:rsidDel="00000000" w:rsidP="00000000" w:rsidRDefault="00000000" w:rsidRPr="00000000" w14:paraId="0000003B">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w:t>
      </w:r>
      <w:r w:rsidDel="00000000" w:rsidR="00000000" w:rsidRPr="00000000">
        <w:rPr>
          <w:rFonts w:ascii="Times New Roman" w:cs="Times New Roman" w:eastAsia="Times New Roman" w:hAnsi="Times New Roman"/>
          <w:b w:val="1"/>
          <w:bCs w:val="1"/>
          <w:sz w:val="24"/>
          <w:szCs w:val="24"/>
          <w:vertAlign w:val="subscript"/>
          <w:rtl w:val="0"/>
        </w:rPr>
        <w:t xml:space="preserve">i </w:t>
      </w:r>
      <w:r w:rsidDel="00000000" w:rsidR="00000000" w:rsidRPr="00000000">
        <w:rPr>
          <w:rFonts w:ascii="Times New Roman" w:cs="Times New Roman" w:eastAsia="Times New Roman" w:hAnsi="Times New Roman"/>
          <w:b w:val="1"/>
          <w:bCs w:val="1"/>
          <w:sz w:val="24"/>
          <w:szCs w:val="24"/>
          <w:rtl w:val="0"/>
        </w:rPr>
        <w:t xml:space="preserve">= β</w:t>
      </w:r>
      <w:r w:rsidDel="00000000" w:rsidR="00000000" w:rsidRPr="00000000">
        <w:rPr>
          <w:rFonts w:ascii="Times New Roman" w:cs="Times New Roman" w:eastAsia="Times New Roman" w:hAnsi="Times New Roman"/>
          <w:b w:val="1"/>
          <w:bCs w:val="1"/>
          <w:sz w:val="24"/>
          <w:szCs w:val="24"/>
          <w:vertAlign w:val="subscript"/>
          <w:rtl w:val="0"/>
        </w:rPr>
        <w:t xml:space="preserve">0</w:t>
      </w:r>
      <w:r w:rsidDel="00000000" w:rsidR="00000000" w:rsidRPr="00000000">
        <w:rPr>
          <w:rFonts w:ascii="Times New Roman" w:cs="Times New Roman" w:eastAsia="Times New Roman" w:hAnsi="Times New Roman"/>
          <w:b w:val="1"/>
          <w:bCs w:val="1"/>
          <w:sz w:val="24"/>
          <w:szCs w:val="24"/>
          <w:rtl w:val="0"/>
        </w:rPr>
        <w:t xml:space="preserve"> + β</w:t>
      </w:r>
      <w:r w:rsidDel="00000000" w:rsidR="00000000" w:rsidRPr="00000000">
        <w:rPr>
          <w:rFonts w:ascii="Times New Roman" w:cs="Times New Roman" w:eastAsia="Times New Roman" w:hAnsi="Times New Roman"/>
          <w:b w:val="1"/>
          <w:bCs w:val="1"/>
          <w:sz w:val="24"/>
          <w:szCs w:val="24"/>
          <w:vertAlign w:val="subscript"/>
          <w:rtl w:val="0"/>
        </w:rPr>
        <w:t xml:space="preserve">1</w:t>
      </w:r>
      <w:r w:rsidDel="00000000" w:rsidR="00000000" w:rsidRPr="00000000">
        <w:rPr>
          <w:rFonts w:ascii="Times New Roman" w:cs="Times New Roman" w:eastAsia="Times New Roman" w:hAnsi="Times New Roman"/>
          <w:b w:val="1"/>
          <w:bCs w:val="1"/>
          <w:sz w:val="24"/>
          <w:szCs w:val="24"/>
          <w:rtl w:val="0"/>
        </w:rPr>
        <w:t xml:space="preserve">USR</w:t>
      </w:r>
      <w:r w:rsidDel="00000000" w:rsidR="00000000" w:rsidRPr="00000000">
        <w:rPr>
          <w:rFonts w:ascii="Times New Roman" w:cs="Times New Roman" w:eastAsia="Times New Roman" w:hAnsi="Times New Roman"/>
          <w:b w:val="1"/>
          <w:bCs w:val="1"/>
          <w:sz w:val="24"/>
          <w:szCs w:val="24"/>
          <w:vertAlign w:val="subscript"/>
          <w:rtl w:val="0"/>
        </w:rPr>
        <w:t xml:space="preserve">i </w:t>
      </w:r>
      <w:r w:rsidDel="00000000" w:rsidR="00000000" w:rsidRPr="00000000">
        <w:rPr>
          <w:rFonts w:ascii="Times New Roman" w:cs="Times New Roman" w:eastAsia="Times New Roman" w:hAnsi="Times New Roman"/>
          <w:b w:val="1"/>
          <w:bCs w:val="1"/>
          <w:sz w:val="24"/>
          <w:szCs w:val="24"/>
          <w:rtl w:val="0"/>
        </w:rPr>
        <w:t xml:space="preserve">+ β</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MR</w:t>
      </w:r>
      <w:r w:rsidDel="00000000" w:rsidR="00000000" w:rsidRPr="00000000">
        <w:rPr>
          <w:rFonts w:ascii="Times New Roman" w:cs="Times New Roman" w:eastAsia="Times New Roman" w:hAnsi="Times New Roman"/>
          <w:b w:val="1"/>
          <w:bCs w:val="1"/>
          <w:sz w:val="24"/>
          <w:szCs w:val="24"/>
          <w:vertAlign w:val="subscript"/>
          <w:rtl w:val="0"/>
        </w:rPr>
        <w:t xml:space="preserve">i </w:t>
      </w:r>
      <w:r w:rsidDel="00000000" w:rsidR="00000000" w:rsidRPr="00000000">
        <w:rPr>
          <w:rFonts w:ascii="Times New Roman" w:cs="Times New Roman" w:eastAsia="Times New Roman" w:hAnsi="Times New Roman"/>
          <w:b w:val="1"/>
          <w:bCs w:val="1"/>
          <w:sz w:val="24"/>
          <w:szCs w:val="24"/>
          <w:rtl w:val="0"/>
        </w:rPr>
        <w:t xml:space="preserve">+ ε</w:t>
      </w:r>
      <w:r w:rsidDel="00000000" w:rsidR="00000000" w:rsidRPr="00000000">
        <w:rPr>
          <w:rFonts w:ascii="Times New Roman" w:cs="Times New Roman" w:eastAsia="Times New Roman" w:hAnsi="Times New Roman"/>
          <w:b w:val="1"/>
          <w:bCs w:val="1"/>
          <w:sz w:val="24"/>
          <w:szCs w:val="24"/>
          <w:vertAlign w:val="subscript"/>
          <w:rtl w:val="0"/>
        </w:rPr>
        <w:t xml:space="preserve">i</w:t>
      </w:r>
      <w:r w:rsidDel="00000000" w:rsidR="00000000" w:rsidRPr="00000000">
        <w:rPr>
          <w:rtl w:val="0"/>
        </w:rPr>
      </w:r>
    </w:p>
    <w:p w:rsidR="00000000" w:rsidDel="00000000" w:rsidP="00000000" w:rsidRDefault="00000000" w:rsidRPr="00000000" w14:paraId="0000003C">
      <w:pPr>
        <w:spacing w:after="120" w:line="288" w:lineRule="auto"/>
        <w:ind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w:t>
      </w:r>
    </w:p>
    <w:p w:rsidR="00000000" w:rsidDel="00000000" w:rsidP="00000000" w:rsidRDefault="00000000" w:rsidRPr="00000000" w14:paraId="0000003D">
      <w:pPr>
        <w:numPr>
          <w:ilvl w:val="0"/>
          <w:numId w:val="2"/>
        </w:numPr>
        <w:spacing w:after="120" w:line="288"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w:t>
      </w:r>
      <w:r w:rsidDel="00000000" w:rsidR="00000000" w:rsidRPr="00000000">
        <w:rPr>
          <w:rFonts w:ascii="Times New Roman" w:cs="Times New Roman" w:eastAsia="Times New Roman" w:hAnsi="Times New Roman"/>
          <w:sz w:val="24"/>
          <w:szCs w:val="24"/>
          <w:vertAlign w:val="subscript"/>
          <w:rtl w:val="0"/>
        </w:rPr>
        <w:t xml:space="preserve">i  </w:t>
      </w:r>
      <w:r w:rsidDel="00000000" w:rsidR="00000000" w:rsidRPr="00000000">
        <w:rPr>
          <w:rFonts w:ascii="Times New Roman" w:cs="Times New Roman" w:eastAsia="Times New Roman" w:hAnsi="Times New Roman"/>
          <w:sz w:val="24"/>
          <w:szCs w:val="24"/>
          <w:rtl w:val="0"/>
        </w:rPr>
        <w:t xml:space="preserve">= Perceived campus image for observation i</w:t>
      </w:r>
    </w:p>
    <w:p w:rsidR="00000000" w:rsidDel="00000000" w:rsidP="00000000" w:rsidRDefault="00000000" w:rsidRPr="00000000" w14:paraId="0000003E">
      <w:pPr>
        <w:numPr>
          <w:ilvl w:val="0"/>
          <w:numId w:val="2"/>
        </w:numPr>
        <w:spacing w:after="120" w:line="288"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USR</w:t>
      </w:r>
      <w:r w:rsidDel="00000000" w:rsidR="00000000" w:rsidRPr="00000000">
        <w:rPr>
          <w:rFonts w:ascii="Times New Roman" w:cs="Times New Roman" w:eastAsia="Times New Roman" w:hAnsi="Times New Roman"/>
          <w:sz w:val="24"/>
          <w:szCs w:val="24"/>
          <w:vertAlign w:val="subscript"/>
          <w:rtl w:val="0"/>
        </w:rPr>
        <w:t xml:space="preserve">i </w:t>
      </w:r>
      <w:r w:rsidDel="00000000" w:rsidR="00000000" w:rsidRPr="00000000">
        <w:rPr>
          <w:rFonts w:ascii="Times New Roman" w:cs="Times New Roman" w:eastAsia="Times New Roman" w:hAnsi="Times New Roman"/>
          <w:sz w:val="24"/>
          <w:szCs w:val="24"/>
          <w:rtl w:val="0"/>
        </w:rPr>
        <w:t xml:space="preserve"> = Level of USR implementation for observation i</w:t>
      </w:r>
    </w:p>
    <w:p w:rsidR="00000000" w:rsidDel="00000000" w:rsidP="00000000" w:rsidRDefault="00000000" w:rsidRPr="00000000" w14:paraId="0000003F">
      <w:pPr>
        <w:numPr>
          <w:ilvl w:val="0"/>
          <w:numId w:val="2"/>
        </w:numPr>
        <w:spacing w:after="120" w:line="288"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w:t>
      </w:r>
      <w:r w:rsidDel="00000000" w:rsidR="00000000" w:rsidRPr="00000000">
        <w:rPr>
          <w:rFonts w:ascii="Times New Roman" w:cs="Times New Roman" w:eastAsia="Times New Roman" w:hAnsi="Times New Roman"/>
          <w:sz w:val="24"/>
          <w:szCs w:val="24"/>
          <w:vertAlign w:val="subscript"/>
          <w:rtl w:val="0"/>
        </w:rPr>
        <w:t xml:space="preserve">i  </w:t>
      </w:r>
      <w:r w:rsidDel="00000000" w:rsidR="00000000" w:rsidRPr="00000000">
        <w:rPr>
          <w:rFonts w:ascii="Times New Roman" w:cs="Times New Roman" w:eastAsia="Times New Roman" w:hAnsi="Times New Roman"/>
          <w:sz w:val="24"/>
          <w:szCs w:val="24"/>
          <w:rtl w:val="0"/>
        </w:rPr>
        <w:t xml:space="preserve">= Media relations effectiveness for observation i</w:t>
      </w:r>
    </w:p>
    <w:p w:rsidR="00000000" w:rsidDel="00000000" w:rsidP="00000000" w:rsidRDefault="00000000" w:rsidRPr="00000000" w14:paraId="00000040">
      <w:pPr>
        <w:numPr>
          <w:ilvl w:val="0"/>
          <w:numId w:val="2"/>
        </w:numPr>
        <w:spacing w:after="120" w:line="288"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β</w:t>
      </w:r>
      <w:r w:rsidDel="00000000" w:rsidR="00000000" w:rsidRPr="00000000">
        <w:rPr>
          <w:rFonts w:ascii="Times New Roman" w:cs="Times New Roman" w:eastAsia="Times New Roman" w:hAnsi="Times New Roman"/>
          <w:sz w:val="24"/>
          <w:szCs w:val="24"/>
          <w:vertAlign w:val="subscript"/>
          <w:rtl w:val="0"/>
        </w:rPr>
        <w:t xml:space="preserve">0</w:t>
      </w:r>
      <w:r w:rsidDel="00000000" w:rsidR="00000000" w:rsidRPr="00000000">
        <w:rPr>
          <w:rFonts w:ascii="Times New Roman" w:cs="Times New Roman" w:eastAsia="Times New Roman" w:hAnsi="Times New Roman"/>
          <w:sz w:val="24"/>
          <w:szCs w:val="24"/>
          <w:rtl w:val="0"/>
        </w:rPr>
        <w:t xml:space="preserve"> = Intercept term</w:t>
      </w:r>
    </w:p>
    <w:p w:rsidR="00000000" w:rsidDel="00000000" w:rsidP="00000000" w:rsidRDefault="00000000" w:rsidRPr="00000000" w14:paraId="00000041">
      <w:pPr>
        <w:numPr>
          <w:ilvl w:val="0"/>
          <w:numId w:val="2"/>
        </w:numPr>
        <w:spacing w:after="120" w:line="288"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β</w:t>
      </w:r>
      <w:r w:rsidDel="00000000" w:rsidR="00000000" w:rsidRPr="00000000">
        <w:rPr>
          <w:rFonts w:ascii="Times New Roman" w:cs="Times New Roman" w:eastAsia="Times New Roman" w:hAnsi="Times New Roman"/>
          <w:sz w:val="24"/>
          <w:szCs w:val="24"/>
          <w:vertAlign w:val="subscript"/>
          <w:rtl w:val="0"/>
        </w:rPr>
        <w:t xml:space="preserve">1</w:t>
      </w:r>
      <w:sdt>
        <w:sdtPr>
          <w:id w:val="-720705176"/>
          <w:tag w:val="goog_rdk_0"/>
        </w:sdtPr>
        <w:sdtContent>
          <w:r w:rsidDel="00000000" w:rsidR="00000000" w:rsidRPr="00000000">
            <w:rPr>
              <w:rFonts w:ascii="Gungsuh" w:cs="Gungsuh" w:eastAsia="Gungsuh" w:hAnsi="Gungsuh"/>
              <w:sz w:val="24"/>
              <w:szCs w:val="24"/>
              <w:rtl w:val="0"/>
            </w:rPr>
            <w:t xml:space="preserve">， β</w:t>
          </w:r>
        </w:sdtContent>
      </w:sdt>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Regression coefficients measuring the marginal effect of USR and MR on campus image</w:t>
      </w:r>
    </w:p>
    <w:p w:rsidR="00000000" w:rsidDel="00000000" w:rsidP="00000000" w:rsidRDefault="00000000" w:rsidRPr="00000000" w14:paraId="00000042">
      <w:pPr>
        <w:numPr>
          <w:ilvl w:val="0"/>
          <w:numId w:val="2"/>
        </w:numPr>
        <w:spacing w:after="120" w:line="288"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ε</w:t>
      </w:r>
      <w:r w:rsidDel="00000000" w:rsidR="00000000" w:rsidRPr="00000000">
        <w:rPr>
          <w:rFonts w:ascii="Times New Roman" w:cs="Times New Roman" w:eastAsia="Times New Roman" w:hAnsi="Times New Roman"/>
          <w:b w:val="1"/>
          <w:bCs w:val="1"/>
          <w:sz w:val="24"/>
          <w:szCs w:val="24"/>
          <w:vertAlign w:val="subscript"/>
          <w:rtl w:val="0"/>
        </w:rPr>
        <w:t xml:space="preserve">i</w:t>
      </w:r>
      <w:r w:rsidDel="00000000" w:rsidR="00000000" w:rsidRPr="00000000">
        <w:rPr>
          <w:rFonts w:ascii="Times New Roman" w:cs="Times New Roman" w:eastAsia="Times New Roman" w:hAnsi="Times New Roman"/>
          <w:sz w:val="24"/>
          <w:szCs w:val="24"/>
          <w:rtl w:val="0"/>
        </w:rPr>
        <w:t xml:space="preserve"> = Random error term capturing unobserved factors</w:t>
      </w:r>
    </w:p>
    <w:p w:rsidR="00000000" w:rsidDel="00000000" w:rsidP="00000000" w:rsidRDefault="00000000" w:rsidRPr="00000000" w14:paraId="00000043">
      <w:pPr>
        <w:spacing w:after="120" w:line="288" w:lineRule="auto"/>
        <w:ind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verify H4, an additional regression is specified to test the direct influence of USR on MR:</w:t>
      </w:r>
    </w:p>
    <w:p w:rsidR="00000000" w:rsidDel="00000000" w:rsidP="00000000" w:rsidRDefault="00000000" w:rsidRPr="00000000" w14:paraId="00000044">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MR</w:t>
      </w:r>
      <w:r w:rsidDel="00000000" w:rsidR="00000000" w:rsidRPr="00000000">
        <w:rPr>
          <w:rFonts w:ascii="Times New Roman" w:cs="Times New Roman" w:eastAsia="Times New Roman" w:hAnsi="Times New Roman"/>
          <w:b w:val="1"/>
          <w:bCs w:val="1"/>
          <w:sz w:val="24"/>
          <w:szCs w:val="24"/>
          <w:vertAlign w:val="subscript"/>
          <w:rtl w:val="0"/>
        </w:rPr>
        <w:t xml:space="preserve">i </w:t>
      </w:r>
      <w:r w:rsidDel="00000000" w:rsidR="00000000" w:rsidRPr="00000000">
        <w:rPr>
          <w:rFonts w:ascii="Times New Roman" w:cs="Times New Roman" w:eastAsia="Times New Roman" w:hAnsi="Times New Roman"/>
          <w:b w:val="1"/>
          <w:bCs w:val="1"/>
          <w:sz w:val="24"/>
          <w:szCs w:val="24"/>
          <w:rtl w:val="0"/>
        </w:rPr>
        <w:t xml:space="preserve">= α</w:t>
      </w:r>
      <w:r w:rsidDel="00000000" w:rsidR="00000000" w:rsidRPr="00000000">
        <w:rPr>
          <w:rFonts w:ascii="Times New Roman" w:cs="Times New Roman" w:eastAsia="Times New Roman" w:hAnsi="Times New Roman"/>
          <w:b w:val="1"/>
          <w:bCs w:val="1"/>
          <w:sz w:val="24"/>
          <w:szCs w:val="24"/>
          <w:vertAlign w:val="subscript"/>
          <w:rtl w:val="0"/>
        </w:rPr>
        <w:t xml:space="preserve">0 </w:t>
      </w:r>
      <w:r w:rsidDel="00000000" w:rsidR="00000000" w:rsidRPr="00000000">
        <w:rPr>
          <w:rFonts w:ascii="Times New Roman" w:cs="Times New Roman" w:eastAsia="Times New Roman" w:hAnsi="Times New Roman"/>
          <w:b w:val="1"/>
          <w:bCs w:val="1"/>
          <w:sz w:val="24"/>
          <w:szCs w:val="24"/>
          <w:rtl w:val="0"/>
        </w:rPr>
        <w:t xml:space="preserve">+ α</w:t>
      </w:r>
      <w:r w:rsidDel="00000000" w:rsidR="00000000" w:rsidRPr="00000000">
        <w:rPr>
          <w:rFonts w:ascii="Times New Roman" w:cs="Times New Roman" w:eastAsia="Times New Roman" w:hAnsi="Times New Roman"/>
          <w:b w:val="1"/>
          <w:bCs w:val="1"/>
          <w:sz w:val="24"/>
          <w:szCs w:val="24"/>
          <w:vertAlign w:val="subscript"/>
          <w:rtl w:val="0"/>
        </w:rPr>
        <w:t xml:space="preserve">1</w:t>
      </w:r>
      <w:r w:rsidDel="00000000" w:rsidR="00000000" w:rsidRPr="00000000">
        <w:rPr>
          <w:rFonts w:ascii="Times New Roman" w:cs="Times New Roman" w:eastAsia="Times New Roman" w:hAnsi="Times New Roman"/>
          <w:b w:val="1"/>
          <w:bCs w:val="1"/>
          <w:sz w:val="24"/>
          <w:szCs w:val="24"/>
          <w:rtl w:val="0"/>
        </w:rPr>
        <w:t xml:space="preserve">USR</w:t>
      </w:r>
      <w:r w:rsidDel="00000000" w:rsidR="00000000" w:rsidRPr="00000000">
        <w:rPr>
          <w:rFonts w:ascii="Times New Roman" w:cs="Times New Roman" w:eastAsia="Times New Roman" w:hAnsi="Times New Roman"/>
          <w:b w:val="1"/>
          <w:bCs w:val="1"/>
          <w:sz w:val="24"/>
          <w:szCs w:val="24"/>
          <w:vertAlign w:val="subscript"/>
          <w:rtl w:val="0"/>
        </w:rPr>
        <w:t xml:space="preserve">i </w:t>
      </w:r>
      <w:r w:rsidDel="00000000" w:rsidR="00000000" w:rsidRPr="00000000">
        <w:rPr>
          <w:rFonts w:ascii="Times New Roman" w:cs="Times New Roman" w:eastAsia="Times New Roman" w:hAnsi="Times New Roman"/>
          <w:b w:val="1"/>
          <w:bCs w:val="1"/>
          <w:sz w:val="24"/>
          <w:szCs w:val="24"/>
          <w:rtl w:val="0"/>
        </w:rPr>
        <w:t xml:space="preserve">+ u</w:t>
      </w:r>
      <w:r w:rsidDel="00000000" w:rsidR="00000000" w:rsidRPr="00000000">
        <w:rPr>
          <w:rFonts w:ascii="Times New Roman" w:cs="Times New Roman" w:eastAsia="Times New Roman" w:hAnsi="Times New Roman"/>
          <w:b w:val="1"/>
          <w:bCs w:val="1"/>
          <w:sz w:val="24"/>
          <w:szCs w:val="24"/>
          <w:vertAlign w:val="subscript"/>
          <w:rtl w:val="0"/>
        </w:rPr>
        <w:t xml:space="preserve">i</w:t>
      </w:r>
      <w:r w:rsidDel="00000000" w:rsidR="00000000" w:rsidRPr="00000000">
        <w:rPr>
          <w:rtl w:val="0"/>
        </w:rPr>
      </w:r>
    </w:p>
    <w:p w:rsidR="00000000" w:rsidDel="00000000" w:rsidP="00000000" w:rsidRDefault="00000000" w:rsidRPr="00000000" w14:paraId="00000045">
      <w:pPr>
        <w:spacing w:after="120" w:line="288" w:lineRule="auto"/>
        <w:ind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w:t>
      </w:r>
    </w:p>
    <w:p w:rsidR="00000000" w:rsidDel="00000000" w:rsidP="00000000" w:rsidRDefault="00000000" w:rsidRPr="00000000" w14:paraId="00000046">
      <w:pPr>
        <w:numPr>
          <w:ilvl w:val="0"/>
          <w:numId w:val="3"/>
        </w:numPr>
        <w:spacing w:after="120" w:line="288"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α</w:t>
      </w:r>
      <w:r w:rsidDel="00000000" w:rsidR="00000000" w:rsidRPr="00000000">
        <w:rPr>
          <w:rFonts w:ascii="Times New Roman" w:cs="Times New Roman" w:eastAsia="Times New Roman" w:hAnsi="Times New Roman"/>
          <w:sz w:val="24"/>
          <w:szCs w:val="24"/>
          <w:vertAlign w:val="subscript"/>
          <w:rtl w:val="0"/>
        </w:rPr>
        <w:t xml:space="preserve">0 </w:t>
      </w:r>
      <w:r w:rsidDel="00000000" w:rsidR="00000000" w:rsidRPr="00000000">
        <w:rPr>
          <w:rFonts w:ascii="Times New Roman" w:cs="Times New Roman" w:eastAsia="Times New Roman" w:hAnsi="Times New Roman"/>
          <w:sz w:val="24"/>
          <w:szCs w:val="24"/>
          <w:rtl w:val="0"/>
        </w:rPr>
        <w:t xml:space="preserve">​ = Intercept term for the mediator equation</w:t>
      </w:r>
    </w:p>
    <w:p w:rsidR="00000000" w:rsidDel="00000000" w:rsidP="00000000" w:rsidRDefault="00000000" w:rsidRPr="00000000" w14:paraId="00000047">
      <w:pPr>
        <w:numPr>
          <w:ilvl w:val="0"/>
          <w:numId w:val="3"/>
        </w:numPr>
        <w:spacing w:after="120" w:line="288"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α</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 Effect of USR implementation on media relations</w:t>
      </w:r>
    </w:p>
    <w:p w:rsidR="00000000" w:rsidDel="00000000" w:rsidP="00000000" w:rsidRDefault="00000000" w:rsidRPr="00000000" w14:paraId="00000048">
      <w:pPr>
        <w:numPr>
          <w:ilvl w:val="0"/>
          <w:numId w:val="3"/>
        </w:numPr>
        <w:spacing w:after="120" w:line="288"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r w:rsidDel="00000000" w:rsidR="00000000" w:rsidRPr="00000000">
        <w:rPr>
          <w:rFonts w:ascii="Times New Roman" w:cs="Times New Roman" w:eastAsia="Times New Roman" w:hAnsi="Times New Roman"/>
          <w:sz w:val="24"/>
          <w:szCs w:val="24"/>
          <w:vertAlign w:val="subscript"/>
          <w:rtl w:val="0"/>
        </w:rPr>
        <w:t xml:space="preserve">i</w:t>
      </w:r>
      <w:r w:rsidDel="00000000" w:rsidR="00000000" w:rsidRPr="00000000">
        <w:rPr>
          <w:rFonts w:ascii="Times New Roman" w:cs="Times New Roman" w:eastAsia="Times New Roman" w:hAnsi="Times New Roman"/>
          <w:sz w:val="24"/>
          <w:szCs w:val="24"/>
          <w:rtl w:val="0"/>
        </w:rPr>
        <w:t xml:space="preserve"> = Error term</w:t>
      </w:r>
    </w:p>
    <w:p w:rsidR="00000000" w:rsidDel="00000000" w:rsidP="00000000" w:rsidRDefault="00000000" w:rsidRPr="00000000" w14:paraId="00000049">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Testing these equations using SEM and bootstrapping allows assessment of both the direct effect (β</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and the indirect effect (α</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β</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of USR on campus image, determining whether MR partially or fully mediates the relationship.</w:t>
      </w:r>
    </w:p>
    <w:p w:rsidR="00000000" w:rsidDel="00000000" w:rsidP="00000000" w:rsidRDefault="00000000" w:rsidRPr="00000000" w14:paraId="0000004A">
      <w:pPr>
        <w:pStyle w:val="Heading2"/>
        <w:spacing w:after="0" w:lineRule="auto"/>
        <w:rPr/>
      </w:pPr>
      <w:bookmarkStart w:colFirst="0" w:colLast="0" w:name="_heading=h.9rrl4vc5voy1" w:id="7"/>
      <w:bookmarkEnd w:id="7"/>
      <w:r w:rsidDel="00000000" w:rsidR="00000000" w:rsidRPr="00000000">
        <w:rPr>
          <w:rtl w:val="0"/>
        </w:rPr>
        <w:t xml:space="preserve">3.2. Measurement scale </w:t>
      </w:r>
    </w:p>
    <w:p w:rsidR="00000000" w:rsidDel="00000000" w:rsidP="00000000" w:rsidRDefault="00000000" w:rsidRPr="00000000" w14:paraId="0000004B">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Table 1: </w:t>
      </w:r>
      <w:r w:rsidDel="00000000" w:rsidR="00000000" w:rsidRPr="00000000">
        <w:rPr>
          <w:rFonts w:ascii="Times New Roman" w:cs="Times New Roman" w:eastAsia="Times New Roman" w:hAnsi="Times New Roman"/>
          <w:sz w:val="24"/>
          <w:szCs w:val="24"/>
          <w:rtl w:val="0"/>
        </w:rPr>
        <w:t xml:space="preserve">Questionnaire Items and Sources </w:t>
      </w:r>
    </w:p>
    <w:p w:rsidR="00000000" w:rsidDel="00000000" w:rsidP="00000000" w:rsidRDefault="00000000" w:rsidRPr="00000000" w14:paraId="0000004C">
      <w:pPr>
        <w:spacing w:after="120" w:line="288"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Synthesised by the author (2025)</w:t>
      </w:r>
    </w:p>
    <w:p w:rsidR="00000000" w:rsidDel="00000000" w:rsidP="00000000" w:rsidRDefault="00000000" w:rsidRPr="00000000" w14:paraId="0000004D">
      <w:pPr>
        <w:spacing w:after="120" w:line="288" w:lineRule="auto"/>
        <w:rPr>
          <w:rFonts w:ascii="Times New Roman" w:cs="Times New Roman" w:eastAsia="Times New Roman" w:hAnsi="Times New Roman"/>
          <w:sz w:val="24"/>
          <w:szCs w:val="24"/>
        </w:rPr>
      </w:pPr>
      <w:r w:rsidDel="00000000" w:rsidR="00000000" w:rsidRPr="00000000">
        <w:rPr>
          <w:rtl w:val="0"/>
        </w:rPr>
      </w:r>
    </w:p>
    <w:tbl>
      <w:tblPr>
        <w:tblStyle w:val="Table2"/>
        <w:tblW w:w="10926.999999999998" w:type="dxa"/>
        <w:jc w:val="left"/>
        <w:tblInd w:w="-87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855"/>
        <w:gridCol w:w="1984"/>
        <w:gridCol w:w="5528"/>
        <w:gridCol w:w="1560"/>
        <w:tblGridChange w:id="0">
          <w:tblGrid>
            <w:gridCol w:w="1855"/>
            <w:gridCol w:w="1984"/>
            <w:gridCol w:w="5528"/>
            <w:gridCol w:w="1560"/>
          </w:tblGrid>
        </w:tblGridChange>
      </w:tblGrid>
      <w:tr>
        <w:trPr>
          <w:cantSplit w:val="0"/>
          <w:trHeight w:val="500" w:hRule="atLeast"/>
          <w:tblHeader w:val="0"/>
        </w:trPr>
        <w:tc>
          <w:tcPr>
            <w:gridSpan w:val="2"/>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4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Constructs</w:t>
            </w:r>
            <w:r w:rsidDel="00000000" w:rsidR="00000000" w:rsidRPr="00000000">
              <w:rPr>
                <w:rtl w:val="0"/>
              </w:rPr>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5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Items</w:t>
            </w:r>
            <w:r w:rsidDel="00000000" w:rsidR="00000000" w:rsidRPr="00000000">
              <w:rPr>
                <w:rtl w:val="0"/>
              </w:rPr>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5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Citation</w:t>
            </w:r>
            <w:r w:rsidDel="00000000" w:rsidR="00000000" w:rsidRPr="00000000">
              <w:rPr>
                <w:rtl w:val="0"/>
              </w:rPr>
            </w:r>
          </w:p>
        </w:tc>
      </w:tr>
      <w:tr>
        <w:trPr>
          <w:cantSplit w:val="0"/>
          <w:trHeight w:val="785" w:hRule="atLeast"/>
          <w:tblHeader w:val="0"/>
        </w:trPr>
        <w:tc>
          <w:tcPr>
            <w:vMerge w:val="restart"/>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52">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3">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4">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5">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6">
            <w:pPr>
              <w:spacing w:after="120" w:line="28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7">
            <w:pPr>
              <w:spacing w:after="120" w:line="28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8">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9">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USR Implementation</w:t>
            </w:r>
          </w:p>
          <w:p w:rsidR="00000000" w:rsidDel="00000000" w:rsidP="00000000" w:rsidRDefault="00000000" w:rsidRPr="00000000" w14:paraId="0000005A">
            <w:pPr>
              <w:spacing w:after="120" w:line="28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B">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C">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D">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E">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F">
            <w:pPr>
              <w:spacing w:after="120" w:line="28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0">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1">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2">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3">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4">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5">
            <w:pPr>
              <w:spacing w:after="120" w:line="28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6">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7">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8">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9">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A">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USR Implementation</w:t>
            </w:r>
          </w:p>
        </w:tc>
        <w:tc>
          <w:tcPr>
            <w:vMerge w:val="restart"/>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6B">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Environmental Responsibility</w:t>
            </w:r>
            <w:r w:rsidDel="00000000" w:rsidR="00000000" w:rsidRPr="00000000">
              <w:rPr>
                <w:rtl w:val="0"/>
              </w:rPr>
            </w:r>
          </w:p>
          <w:p w:rsidR="00000000" w:rsidDel="00000000" w:rsidP="00000000" w:rsidRDefault="00000000" w:rsidRPr="00000000" w14:paraId="0000006C">
            <w:pPr>
              <w:spacing w:after="120" w:line="288" w:lineRule="auto"/>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6D">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EN1. The university undertakes a number of initiatives to improve the quality of life on campus.</w:t>
            </w:r>
          </w:p>
        </w:tc>
        <w:tc>
          <w:tcPr>
            <w:vMerge w:val="restart"/>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6E">
            <w:pPr>
              <w:spacing w:after="120" w:line="288" w:lineRule="auto"/>
              <w:ind w:right="31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Amani (2024)</w:t>
            </w:r>
          </w:p>
          <w:p w:rsidR="00000000" w:rsidDel="00000000" w:rsidP="00000000" w:rsidRDefault="00000000" w:rsidRPr="00000000" w14:paraId="0000006F">
            <w:pPr>
              <w:spacing w:after="120" w:line="288" w:lineRule="auto"/>
              <w:ind w:right="314"/>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120" w:line="288" w:lineRule="auto"/>
              <w:ind w:right="314"/>
              <w:jc w:val="center"/>
              <w:rPr>
                <w:rFonts w:ascii="Times New Roman" w:cs="Times New Roman" w:eastAsia="Times New Roman" w:hAnsi="Times New Roman"/>
                <w:sz w:val="24"/>
                <w:szCs w:val="24"/>
              </w:rPr>
            </w:pPr>
            <w:r w:rsidDel="00000000" w:rsidR="00000000" w:rsidRPr="00000000">
              <w:rPr>
                <w:rtl w:val="0"/>
              </w:rPr>
            </w:r>
          </w:p>
        </w:tc>
      </w:tr>
      <w:tr>
        <w:trPr>
          <w:cantSplit w:val="0"/>
          <w:trHeight w:val="785"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73">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EN2. The university invests in making studying conditions better.</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785"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77">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EN3. The university implements environmental policies to reduce waste and promote sustainability. </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785"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7A">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Ethical Responsibility</w:t>
            </w: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7B">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ET1. The university has a comprehensive code of conduct.</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1055"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7F">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ET2. The university tries to perform in a manner consistent with expectations of societal and ethical norms and standards.</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1055"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83">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ET3. The university behaves with honesty, transparency, and fairness in all its activities and relationships with potential stakeholders.</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1055"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86">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Legal Responsibility</w:t>
            </w: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87">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LE1. The university is performing in consistence with the expectations of the regulatory bodies for higher education.</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785"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8B">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LE2. The university complies with the standard rules and regulations as well as with state and local laws.</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785"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8F">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LE3. The university is fulfilling its legal obligations toward its stakeholders.</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785"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92">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Philanthropic Responsibility</w:t>
            </w: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93">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PH1. The university promotes opportunities for student volunteering in support of community projects.</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785"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97">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PH2. The university participates in voluntary and charitable activities within their local community.</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785"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9B">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PH3. The university consistently offers scholarships to the needy.</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785"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9E">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Academic Responsibility</w:t>
            </w: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9F">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AC1. The university respects the highest standards of academic integrity and professionalism.</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785"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A3">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AC2. The university has continuously improved the level of its service education.</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2121" w:hRule="atLeast"/>
          <w:tblHeader w:val="0"/>
        </w:trPr>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A7">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AC3. The university arranges for linkage with the industry in order to develop the required skills in the students.</w:t>
            </w:r>
          </w:p>
        </w:tc>
        <w:tc>
          <w:tcPr>
            <w:vMerge w:val="continue"/>
            <w:tcBorders>
              <w:top w:color="000000" w:space="0" w:sz="12"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37" w:hRule="atLeast"/>
          <w:tblHeader w:val="0"/>
        </w:trPr>
        <w:tc>
          <w:tcPr>
            <w:vMerge w:val="restart"/>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A9">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A">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B">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C">
            <w:pPr>
              <w:spacing w:after="120" w:line="28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D">
            <w:pPr>
              <w:spacing w:after="120" w:line="288"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Media Relation</w:t>
            </w:r>
          </w:p>
          <w:p w:rsidR="00000000" w:rsidDel="00000000" w:rsidP="00000000" w:rsidRDefault="00000000" w:rsidRPr="00000000" w14:paraId="000000AE">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F">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0">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1">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2">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3">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4">
            <w:pPr>
              <w:spacing w:after="120" w:line="28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5">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Media Relation</w:t>
            </w:r>
            <w:r w:rsidDel="00000000" w:rsidR="00000000" w:rsidRPr="00000000">
              <w:rPr>
                <w:rtl w:val="0"/>
              </w:rPr>
            </w:r>
          </w:p>
        </w:tc>
        <w:tc>
          <w:tcPr>
            <w:vMerge w:val="restart"/>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7">
            <w:pPr>
              <w:spacing w:after="120" w:line="288"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Properties</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8">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MR1. Utilize media time  </w:t>
            </w:r>
          </w:p>
        </w:tc>
        <w:tc>
          <w:tcPr>
            <w:vMerge w:val="restart"/>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9">
            <w:pPr>
              <w:spacing w:after="120" w:line="288" w:lineRule="auto"/>
              <w:ind w:right="31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Kurniawan et al. (2020)</w:t>
            </w:r>
          </w:p>
        </w:tc>
      </w:tr>
      <w:tr>
        <w:trPr>
          <w:cantSplit w:val="0"/>
          <w:trHeight w:val="605" w:hRule="atLeast"/>
          <w:tblHeader w:val="0"/>
        </w:trPr>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C">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MR2. In conducting activities covered by the media</w:t>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05" w:hRule="atLeast"/>
          <w:tblHeader w:val="0"/>
        </w:trPr>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0">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MR3. There is cooperation with the media</w:t>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05" w:hRule="atLeast"/>
          <w:tblHeader w:val="0"/>
        </w:trPr>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4">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MR4. Cooperation with the media in campus activities</w:t>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05" w:hRule="atLeast"/>
          <w:tblHeader w:val="0"/>
        </w:trPr>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8">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MR5.  Involve media in activities</w:t>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37" w:hRule="atLeast"/>
          <w:tblHeader w:val="0"/>
        </w:trPr>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B">
            <w:pPr>
              <w:spacing w:after="120" w:line="288"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USR Communication</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C">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CM1. I am aware of the university's Corporate Social Responsibility (CSR).</w:t>
              <w:tab/>
            </w:r>
          </w:p>
        </w:tc>
        <w:tc>
          <w:tcPr>
            <w:vMerge w:val="restart"/>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D">
            <w:pPr>
              <w:spacing w:after="120" w:line="288" w:lineRule="auto"/>
              <w:ind w:right="31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Mutwiri et al. (2022)</w:t>
            </w:r>
          </w:p>
        </w:tc>
      </w:tr>
      <w:tr>
        <w:trPr>
          <w:cantSplit w:val="0"/>
          <w:trHeight w:val="637" w:hRule="atLeast"/>
          <w:tblHeader w:val="0"/>
        </w:trPr>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0">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CM2. The university's communication about its CSR is interactive.</w:t>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37" w:hRule="atLeast"/>
          <w:tblHeader w:val="0"/>
        </w:trPr>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4">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CM3. I have access to media/channels used by the university to communicate its CSR activities.</w:t>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1546" w:hRule="atLeast"/>
          <w:tblHeader w:val="0"/>
        </w:trPr>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8">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CM4. The university has a mechanism for getting feedback from the employees about its CSR activities.</w:t>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37" w:hRule="atLeast"/>
          <w:tblHeader w:val="0"/>
        </w:trPr>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C">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CM5. I recommend that the university should change its communication strategy about CSR activities.</w:t>
            </w:r>
          </w:p>
        </w:tc>
        <w:tc>
          <w:tcPr>
            <w:vMerge w:val="continue"/>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05" w:hRule="atLeast"/>
          <w:tblHeader w:val="0"/>
        </w:trPr>
        <w:tc>
          <w:tcPr>
            <w:gridSpan w:val="2"/>
            <w:vMerge w:val="restart"/>
            <w:tcBorders>
              <w:left w:color="000000" w:space="0" w:sz="0" w:val="nil"/>
              <w:bottom w:color="000000" w:space="0" w:sz="0" w:val="nil"/>
              <w:right w:color="000000" w:space="0" w:sz="0" w:val="nil"/>
            </w:tcBorders>
            <w:vAlign w:val="center"/>
          </w:tcPr>
          <w:p w:rsidR="00000000" w:rsidDel="00000000" w:rsidP="00000000" w:rsidRDefault="00000000" w:rsidRPr="00000000" w14:paraId="000000DE">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Campus Image</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0">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IM1. This university was recommended to me by my friends.</w:t>
            </w:r>
          </w:p>
        </w:tc>
        <w:tc>
          <w:tcPr>
            <w:vMerge w:val="restart"/>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1">
            <w:pPr>
              <w:spacing w:after="120" w:line="288" w:lineRule="auto"/>
              <w:ind w:right="31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Yee (2017)</w:t>
            </w:r>
          </w:p>
        </w:tc>
      </w:tr>
      <w:tr>
        <w:trPr>
          <w:cantSplit w:val="0"/>
          <w:trHeight w:val="605" w:hRule="atLeast"/>
          <w:tblHeader w:val="0"/>
        </w:trPr>
        <w:tc>
          <w:tcPr>
            <w:gridSpan w:val="2"/>
            <w:vMerge w:val="continue"/>
            <w:tcBorders>
              <w:left w:color="000000" w:space="0" w:sz="0" w:val="nil"/>
              <w:bottom w:color="000000" w:space="0" w:sz="0" w:val="nil"/>
              <w:right w:color="000000" w:space="0" w:sz="0" w:val="nil"/>
            </w:tcBorders>
            <w:vAlign w:val="cente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4">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IM2. This university was recommended to me by my family.</w:t>
            </w:r>
          </w:p>
        </w:tc>
        <w:tc>
          <w:tcPr>
            <w:vMerge w:val="continue"/>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05" w:hRule="atLeast"/>
          <w:tblHeader w:val="0"/>
        </w:trPr>
        <w:tc>
          <w:tcPr>
            <w:gridSpan w:val="2"/>
            <w:vMerge w:val="continue"/>
            <w:tcBorders>
              <w:left w:color="000000" w:space="0" w:sz="0" w:val="nil"/>
              <w:bottom w:color="000000" w:space="0" w:sz="0" w:val="nil"/>
              <w:right w:color="000000" w:space="0" w:sz="0" w:val="nil"/>
            </w:tcBorders>
            <w:vAlign w:val="cente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8">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IM3. This university has a prestigious image.</w:t>
            </w:r>
          </w:p>
        </w:tc>
        <w:tc>
          <w:tcPr>
            <w:vMerge w:val="continue"/>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05" w:hRule="atLeast"/>
          <w:tblHeader w:val="0"/>
        </w:trPr>
        <w:tc>
          <w:tcPr>
            <w:gridSpan w:val="2"/>
            <w:vMerge w:val="continue"/>
            <w:tcBorders>
              <w:left w:color="000000" w:space="0" w:sz="0" w:val="nil"/>
              <w:bottom w:color="000000" w:space="0" w:sz="0" w:val="nil"/>
              <w:right w:color="000000" w:space="0" w:sz="0" w:val="nil"/>
            </w:tcBorders>
            <w:vAlign w:val="cente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C">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IM4. I think my parents think highly of this university.</w:t>
            </w:r>
          </w:p>
        </w:tc>
        <w:tc>
          <w:tcPr>
            <w:vMerge w:val="continue"/>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05" w:hRule="atLeast"/>
          <w:tblHeader w:val="0"/>
        </w:trPr>
        <w:tc>
          <w:tcPr>
            <w:gridSpan w:val="2"/>
            <w:vMerge w:val="continue"/>
            <w:tcBorders>
              <w:left w:color="000000" w:space="0" w:sz="0" w:val="nil"/>
              <w:bottom w:color="000000" w:space="0" w:sz="0" w:val="nil"/>
              <w:right w:color="000000" w:space="0" w:sz="0" w:val="nil"/>
            </w:tcBorders>
            <w:vAlign w:val="cente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F0">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IM5. I think my friends and siblings think highly of this university.</w:t>
            </w:r>
          </w:p>
        </w:tc>
        <w:tc>
          <w:tcPr>
            <w:vMerge w:val="continue"/>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05" w:hRule="atLeast"/>
          <w:tblHeader w:val="0"/>
        </w:trPr>
        <w:tc>
          <w:tcPr>
            <w:gridSpan w:val="2"/>
            <w:vMerge w:val="continue"/>
            <w:tcBorders>
              <w:left w:color="000000" w:space="0" w:sz="0" w:val="nil"/>
              <w:bottom w:color="000000" w:space="0" w:sz="0" w:val="nil"/>
              <w:right w:color="000000" w:space="0" w:sz="0" w:val="nil"/>
            </w:tcBorders>
            <w:vAlign w:val="cente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F4">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IM6. This university successfully retains a prestigious place in various university ranking systems.</w:t>
            </w:r>
          </w:p>
        </w:tc>
        <w:tc>
          <w:tcPr>
            <w:vMerge w:val="continue"/>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F6">
      <w:pPr>
        <w:spacing w:after="120" w:line="288" w:lineRule="auto"/>
        <w:ind w:firstLine="426"/>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F7">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uses a structured questionnaire to evaluate the relationship between USR implementation, MR, and campus image at FTU HCMC. All items were measured using a 5-point Likert scale to ensure coherence, ease of response, and better analysis. The scale ranged from 1 = Strongly Disagree to 5 = Strongly Agree.</w:t>
      </w:r>
    </w:p>
    <w:p w:rsidR="00000000" w:rsidDel="00000000" w:rsidP="00000000" w:rsidRDefault="00000000" w:rsidRPr="00000000" w14:paraId="000000F8">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questionnaire has 31 items covering: USR implementation includes ethical, legal, environmental, philanthropic, and academic responsibilities; MR splits into MR Properties (strategic use of media) and USR Communication (message reach, clarity, and interactivity); Campus Image indicates the students’ perceptions of credibility, trust, and institutional appeal. All items were adapted from validated sources and revised to fit the FTU HCMC context. A pilot test was conducted to ensure clarity and reliability. The final version was distributed via Google Forms to FTU HCMC students.</w:t>
      </w:r>
    </w:p>
    <w:p w:rsidR="00000000" w:rsidDel="00000000" w:rsidP="00000000" w:rsidRDefault="00000000" w:rsidRPr="00000000" w14:paraId="000000F9">
      <w:pPr>
        <w:pStyle w:val="Heading2"/>
        <w:spacing w:after="0" w:lineRule="auto"/>
        <w:rPr/>
      </w:pPr>
      <w:bookmarkStart w:colFirst="0" w:colLast="0" w:name="_heading=h.7638n6y17qi" w:id="8"/>
      <w:bookmarkEnd w:id="8"/>
      <w:r w:rsidDel="00000000" w:rsidR="00000000" w:rsidRPr="00000000">
        <w:rPr>
          <w:rtl w:val="0"/>
        </w:rPr>
        <w:t xml:space="preserve">3.3. Sample size and data collection </w:t>
      </w:r>
    </w:p>
    <w:p w:rsidR="00000000" w:rsidDel="00000000" w:rsidP="00000000" w:rsidRDefault="00000000" w:rsidRPr="00000000" w14:paraId="000000FA">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were 31 items in the questionnaire that encompassed USR, MR, and Campus Image. A 95% accuracy level (Z = 1.96) and a precision level of 0.05 was then used based on an estimated number of respondents of around 4,000 undergraduate FTU HCMC students with a minimum target population of 350 population. The sample population was the students of FTU HCMC aged between 18-22 who could be considered as a diverse group that is actively involved in academic, media, and extracurricular activity.</w:t>
      </w:r>
    </w:p>
    <w:p w:rsidR="00000000" w:rsidDel="00000000" w:rsidP="00000000" w:rsidRDefault="00000000" w:rsidRPr="00000000" w14:paraId="000000FB">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n=</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N</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Z</m:t>
                </m:r>
              </m:e>
              <m:sup>
                <m:r>
                  <w:rPr>
                    <w:rFonts w:ascii="Cambria Math" w:cs="Cambria Math" w:eastAsia="Cambria Math" w:hAnsi="Cambria Math"/>
                    <w:sz w:val="24"/>
                    <w:szCs w:val="24"/>
                  </w:rPr>
                  <m:t xml:space="preserve">2</m:t>
                </m:r>
              </m:sup>
            </m:sSup>
            <m:r>
              <w:rPr>
                <w:rFonts w:ascii="Cambria Math" w:cs="Cambria Math" w:eastAsia="Cambria Math" w:hAnsi="Cambria Math"/>
                <w:sz w:val="24"/>
                <w:szCs w:val="24"/>
              </w:rPr>
              <m:t xml:space="preserve">*.25</m:t>
            </m:r>
          </m:num>
          <m:den>
            <m:d>
              <m:dPr>
                <m:begChr m:val="["/>
                <m:endChr m:val="]"/>
                <m:ctrlPr>
                  <w:rPr>
                    <w:rFonts w:ascii="Cambria Math" w:cs="Cambria Math" w:eastAsia="Cambria Math" w:hAnsi="Cambria Math"/>
                    <w:sz w:val="24"/>
                    <w:szCs w:val="24"/>
                  </w:rPr>
                </m:ctrlPr>
              </m:dPr>
              <m:e>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d</m:t>
                    </m:r>
                  </m:e>
                  <m:sup>
                    <m:r>
                      <w:rPr>
                        <w:rFonts w:ascii="Cambria Math" w:cs="Cambria Math" w:eastAsia="Cambria Math" w:hAnsi="Cambria Math"/>
                        <w:sz w:val="24"/>
                        <w:szCs w:val="24"/>
                      </w:rPr>
                      <m:t xml:space="preserve">2</m:t>
                    </m:r>
                  </m:sup>
                </m:sSup>
                <m:r>
                  <w:rPr>
                    <w:rFonts w:ascii="Cambria Math" w:cs="Cambria Math" w:eastAsia="Cambria Math" w:hAnsi="Cambria Math"/>
                    <w:sz w:val="24"/>
                    <w:szCs w:val="24"/>
                  </w:rPr>
                  <m:t xml:space="preserve">*</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N-1</m:t>
                    </m:r>
                  </m:e>
                </m:d>
              </m:e>
            </m:d>
            <m:r>
              <w:rPr>
                <w:rFonts w:ascii="Cambria Math" w:cs="Cambria Math" w:eastAsia="Cambria Math" w:hAnsi="Cambria Math"/>
                <w:sz w:val="24"/>
                <w:szCs w:val="24"/>
              </w:rPr>
              <m:t xml:space="preserve">+</m:t>
            </m:r>
            <m:d>
              <m:dPr>
                <m:begChr m:val="("/>
                <m:endChr m:val=")"/>
                <m:ctrlPr>
                  <w:rPr>
                    <w:rFonts w:ascii="Cambria Math" w:cs="Cambria Math" w:eastAsia="Cambria Math" w:hAnsi="Cambria Math"/>
                    <w:sz w:val="24"/>
                    <w:szCs w:val="24"/>
                  </w:rPr>
                </m:ctrlPr>
              </m:dPr>
              <m:e>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Z</m:t>
                    </m:r>
                  </m:e>
                  <m:sup>
                    <m:r>
                      <w:rPr>
                        <w:rFonts w:ascii="Cambria Math" w:cs="Cambria Math" w:eastAsia="Cambria Math" w:hAnsi="Cambria Math"/>
                        <w:sz w:val="24"/>
                        <w:szCs w:val="24"/>
                      </w:rPr>
                      <m:t xml:space="preserve">2</m:t>
                    </m:r>
                  </m:sup>
                </m:sSup>
                <m:r>
                  <w:rPr>
                    <w:rFonts w:ascii="Cambria Math" w:cs="Cambria Math" w:eastAsia="Cambria Math" w:hAnsi="Cambria Math"/>
                    <w:sz w:val="24"/>
                    <w:szCs w:val="24"/>
                  </w:rPr>
                  <m:t xml:space="preserve">*.25</m:t>
                </m:r>
              </m:e>
            </m:d>
          </m:den>
        </m:f>
      </m:oMath>
      <w:r w:rsidDel="00000000" w:rsidR="00000000" w:rsidRPr="00000000">
        <w:rPr>
          <w:rtl w:val="0"/>
        </w:rPr>
      </w:r>
    </w:p>
    <w:p w:rsidR="00000000" w:rsidDel="00000000" w:rsidP="00000000" w:rsidRDefault="00000000" w:rsidRPr="00000000" w14:paraId="000000FC">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n = sample size required</w:t>
      </w:r>
    </w:p>
    <w:p w:rsidR="00000000" w:rsidDel="00000000" w:rsidP="00000000" w:rsidRDefault="00000000" w:rsidRPr="00000000" w14:paraId="000000FD">
      <w:pPr>
        <w:spacing w:after="120" w:line="288" w:lineRule="auto"/>
        <w:ind w:firstLine="113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 = total population size (known or estimated)</w:t>
      </w:r>
    </w:p>
    <w:p w:rsidR="00000000" w:rsidDel="00000000" w:rsidP="00000000" w:rsidRDefault="00000000" w:rsidRPr="00000000" w14:paraId="000000FE">
      <w:pPr>
        <w:spacing w:after="120" w:line="288" w:lineRule="auto"/>
        <w:ind w:firstLine="113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 precision level (usually .05 or .10)</w:t>
      </w:r>
    </w:p>
    <w:p w:rsidR="00000000" w:rsidDel="00000000" w:rsidP="00000000" w:rsidRDefault="00000000" w:rsidRPr="00000000" w14:paraId="000000FF">
      <w:pPr>
        <w:spacing w:after="120" w:line="288" w:lineRule="auto"/>
        <w:ind w:firstLine="113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 = number of standard deviation units of the sampling distribution corresponding to the desired confidence level </w:t>
      </w:r>
    </w:p>
    <w:p w:rsidR="00000000" w:rsidDel="00000000" w:rsidP="00000000" w:rsidRDefault="00000000" w:rsidRPr="00000000" w14:paraId="00000100">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study include three variables: USR implementation, MR, and Campus Image. The implementation of USR indicates that the university exercises its social, ethical, legal, environmental, and academic responsibilities in its teaching, research, governance, and community activity. MR is a strategic communication of the USR initiatives through the mass media and the digital platform. Campus image is the general perception of the stakeholders of the image of the university, and both cognitive and affective.</w:t>
      </w:r>
    </w:p>
    <w:p w:rsidR="00000000" w:rsidDel="00000000" w:rsidP="00000000" w:rsidRDefault="00000000" w:rsidRPr="00000000" w14:paraId="00000101">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total of 419 questionnaires were returned, of which 350 were valid and used for analysis. Female respondents accounted for 66.7% of the sample. The distribution across academic years was relatively balanced, with 26.6% first-year, 26.3% second-year, 20.3% third-year, and 26.8% fourth-year students. The age of the participants was between 18 and 21, which is the average age of the undergraduates.</w:t>
      </w:r>
    </w:p>
    <w:p w:rsidR="00000000" w:rsidDel="00000000" w:rsidP="00000000" w:rsidRDefault="00000000" w:rsidRPr="00000000" w14:paraId="00000102">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study uses SPSS and AMOS to analyze data. The descriptive statistics, at first, were calculated to describe the perception of the students about USR, MR and Campus Image. The Scale reliability was evaluated by the use of Cronbach alpha whose values above 0.70 was acceptable. To test the measurement model, exploratory factor analysis (EFA) and confirmatory factor analysis (CFA) were used. Lastly, structural equation modeling (SEM) was used to establish the hypothesized direct and indirect relationships between variables. The 5000 bootstrap resamples were also used to determine the significance of the indirect effects by further analyzing the mediating effect of MR using the PROCESS macro.</w:t>
      </w:r>
    </w:p>
    <w:p w:rsidR="00000000" w:rsidDel="00000000" w:rsidP="00000000" w:rsidRDefault="00000000" w:rsidRPr="00000000" w14:paraId="00000103">
      <w:pPr>
        <w:pStyle w:val="Heading1"/>
        <w:spacing w:before="0" w:line="288" w:lineRule="auto"/>
        <w:rPr/>
      </w:pPr>
      <w:bookmarkStart w:colFirst="0" w:colLast="0" w:name="_heading=h.6l3jrljcrsl6" w:id="9"/>
      <w:bookmarkEnd w:id="9"/>
      <w:r w:rsidDel="00000000" w:rsidR="00000000" w:rsidRPr="00000000">
        <w:rPr>
          <w:rtl w:val="0"/>
        </w:rPr>
        <w:t xml:space="preserve">IV. Results </w:t>
      </w:r>
    </w:p>
    <w:p w:rsidR="00000000" w:rsidDel="00000000" w:rsidP="00000000" w:rsidRDefault="00000000" w:rsidRPr="00000000" w14:paraId="00000104">
      <w:pPr>
        <w:pStyle w:val="Heading2"/>
        <w:spacing w:after="0" w:lineRule="auto"/>
        <w:rPr/>
      </w:pPr>
      <w:bookmarkStart w:colFirst="0" w:colLast="0" w:name="_heading=h.hgp6k3u6rqh9" w:id="10"/>
      <w:bookmarkEnd w:id="10"/>
      <w:r w:rsidDel="00000000" w:rsidR="00000000" w:rsidRPr="00000000">
        <w:rPr>
          <w:rtl w:val="0"/>
        </w:rPr>
        <w:t xml:space="preserve">4.1. Descriptive analysis</w:t>
      </w:r>
    </w:p>
    <w:p w:rsidR="00000000" w:rsidDel="00000000" w:rsidP="00000000" w:rsidRDefault="00000000" w:rsidRPr="00000000" w14:paraId="00000105">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Table 2:</w:t>
      </w:r>
      <w:r w:rsidDel="00000000" w:rsidR="00000000" w:rsidRPr="00000000">
        <w:rPr>
          <w:rFonts w:ascii="Times New Roman" w:cs="Times New Roman" w:eastAsia="Times New Roman" w:hAnsi="Times New Roman"/>
          <w:sz w:val="24"/>
          <w:szCs w:val="24"/>
          <w:rtl w:val="0"/>
        </w:rPr>
        <w:t xml:space="preserve"> Descriptive Statistics by Construct (N = 350)</w:t>
      </w:r>
    </w:p>
    <w:p w:rsidR="00000000" w:rsidDel="00000000" w:rsidP="00000000" w:rsidRDefault="00000000" w:rsidRPr="00000000" w14:paraId="00000106">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Authors’ calculations using SPSS (2025)</w:t>
      </w:r>
      <w:r w:rsidDel="00000000" w:rsidR="00000000" w:rsidRPr="00000000">
        <w:rPr>
          <w:rtl w:val="0"/>
        </w:rPr>
      </w:r>
    </w:p>
    <w:tbl>
      <w:tblPr>
        <w:tblStyle w:val="Table3"/>
        <w:tblW w:w="9825.0" w:type="dxa"/>
        <w:jc w:val="left"/>
        <w:tblBorders>
          <w:top w:color="000000" w:space="0" w:sz="8" w:val="single"/>
          <w:bottom w:color="000000" w:space="0" w:sz="8" w:val="single"/>
          <w:insideH w:color="000000" w:space="0" w:sz="8" w:val="single"/>
        </w:tblBorders>
        <w:tblLayout w:type="fixed"/>
        <w:tblLook w:val="0600"/>
      </w:tblPr>
      <w:tblGrid>
        <w:gridCol w:w="4140"/>
        <w:gridCol w:w="1200"/>
        <w:gridCol w:w="840"/>
        <w:gridCol w:w="795"/>
        <w:gridCol w:w="900"/>
        <w:gridCol w:w="1950"/>
        <w:tblGridChange w:id="0">
          <w:tblGrid>
            <w:gridCol w:w="4140"/>
            <w:gridCol w:w="1200"/>
            <w:gridCol w:w="840"/>
            <w:gridCol w:w="795"/>
            <w:gridCol w:w="900"/>
            <w:gridCol w:w="1950"/>
          </w:tblGrid>
        </w:tblGridChange>
      </w:tblGrid>
      <w:tr>
        <w:trPr>
          <w:cantSplit w:val="0"/>
          <w:trHeight w:val="45" w:hRule="atLeast"/>
          <w:tblHeader w:val="0"/>
        </w:trPr>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0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Construct</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0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Items (k)</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09">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Min</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0A">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Max</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0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Mean (M)</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0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Standard Deviation (SD)</w:t>
            </w:r>
            <w:r w:rsidDel="00000000" w:rsidR="00000000" w:rsidRPr="00000000">
              <w:rPr>
                <w:rtl w:val="0"/>
              </w:rPr>
            </w:r>
          </w:p>
        </w:tc>
      </w:tr>
      <w:tr>
        <w:trPr>
          <w:cantSplit w:val="0"/>
          <w:trHeight w:val="75" w:hRule="atLeast"/>
          <w:tblHeader w:val="0"/>
        </w:trPr>
        <w:tc>
          <w:tcPr>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0D">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Environmental Responsibility (EN)</w:t>
            </w:r>
          </w:p>
        </w:tc>
        <w:tc>
          <w:tcPr>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0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0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1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1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3.34</w:t>
            </w:r>
          </w:p>
        </w:tc>
        <w:tc>
          <w:tcPr>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1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0.74</w:t>
            </w:r>
          </w:p>
        </w:tc>
      </w:tr>
      <w:tr>
        <w:trPr>
          <w:cantSplit w:val="0"/>
          <w:trHeight w:val="18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113">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Ethical Responsibility (ET)</w:t>
            </w:r>
          </w:p>
        </w:tc>
        <w:tc>
          <w:tcPr>
            <w:tcMar>
              <w:top w:w="100.0" w:type="dxa"/>
              <w:left w:w="100.0" w:type="dxa"/>
              <w:bottom w:w="100.0" w:type="dxa"/>
              <w:right w:w="100.0" w:type="dxa"/>
            </w:tcMar>
            <w:vAlign w:val="center"/>
          </w:tcPr>
          <w:p w:rsidR="00000000" w:rsidDel="00000000" w:rsidP="00000000" w:rsidRDefault="00000000" w:rsidRPr="00000000" w14:paraId="0000011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Mar>
              <w:top w:w="100.0" w:type="dxa"/>
              <w:left w:w="100.0" w:type="dxa"/>
              <w:bottom w:w="100.0" w:type="dxa"/>
              <w:right w:w="100.0" w:type="dxa"/>
            </w:tcMar>
            <w:vAlign w:val="center"/>
          </w:tcPr>
          <w:p w:rsidR="00000000" w:rsidDel="00000000" w:rsidP="00000000" w:rsidRDefault="00000000" w:rsidRPr="00000000" w14:paraId="0000011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100.0" w:type="dxa"/>
              <w:left w:w="100.0" w:type="dxa"/>
              <w:bottom w:w="100.0" w:type="dxa"/>
              <w:right w:w="100.0" w:type="dxa"/>
            </w:tcMar>
            <w:vAlign w:val="center"/>
          </w:tcPr>
          <w:p w:rsidR="00000000" w:rsidDel="00000000" w:rsidP="00000000" w:rsidRDefault="00000000" w:rsidRPr="00000000" w14:paraId="0000011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vAlign w:val="center"/>
          </w:tcPr>
          <w:p w:rsidR="00000000" w:rsidDel="00000000" w:rsidP="00000000" w:rsidRDefault="00000000" w:rsidRPr="00000000" w14:paraId="0000011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3.65</w:t>
            </w:r>
          </w:p>
        </w:tc>
        <w:tc>
          <w:tcPr>
            <w:tcMar>
              <w:top w:w="100.0" w:type="dxa"/>
              <w:left w:w="100.0" w:type="dxa"/>
              <w:bottom w:w="100.0" w:type="dxa"/>
              <w:right w:w="100.0" w:type="dxa"/>
            </w:tcMar>
            <w:vAlign w:val="center"/>
          </w:tcPr>
          <w:p w:rsidR="00000000" w:rsidDel="00000000" w:rsidP="00000000" w:rsidRDefault="00000000" w:rsidRPr="00000000" w14:paraId="0000011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0.70</w:t>
            </w:r>
          </w:p>
        </w:tc>
      </w:tr>
      <w:tr>
        <w:trPr>
          <w:cantSplit w:val="0"/>
          <w:trHeight w:val="69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119">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Legal Responsibility (LE)</w:t>
            </w:r>
          </w:p>
        </w:tc>
        <w:tc>
          <w:tcPr>
            <w:tcMar>
              <w:top w:w="100.0" w:type="dxa"/>
              <w:left w:w="100.0" w:type="dxa"/>
              <w:bottom w:w="100.0" w:type="dxa"/>
              <w:right w:w="100.0" w:type="dxa"/>
            </w:tcMar>
            <w:vAlign w:val="center"/>
          </w:tcPr>
          <w:p w:rsidR="00000000" w:rsidDel="00000000" w:rsidP="00000000" w:rsidRDefault="00000000" w:rsidRPr="00000000" w14:paraId="0000011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Mar>
              <w:top w:w="100.0" w:type="dxa"/>
              <w:left w:w="100.0" w:type="dxa"/>
              <w:bottom w:w="100.0" w:type="dxa"/>
              <w:right w:w="100.0" w:type="dxa"/>
            </w:tcMar>
            <w:vAlign w:val="center"/>
          </w:tcPr>
          <w:p w:rsidR="00000000" w:rsidDel="00000000" w:rsidP="00000000" w:rsidRDefault="00000000" w:rsidRPr="00000000" w14:paraId="0000011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100.0" w:type="dxa"/>
              <w:left w:w="100.0" w:type="dxa"/>
              <w:bottom w:w="100.0" w:type="dxa"/>
              <w:right w:w="100.0" w:type="dxa"/>
            </w:tcMar>
            <w:vAlign w:val="center"/>
          </w:tcPr>
          <w:p w:rsidR="00000000" w:rsidDel="00000000" w:rsidP="00000000" w:rsidRDefault="00000000" w:rsidRPr="00000000" w14:paraId="0000011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vAlign w:val="center"/>
          </w:tcPr>
          <w:p w:rsidR="00000000" w:rsidDel="00000000" w:rsidP="00000000" w:rsidRDefault="00000000" w:rsidRPr="00000000" w14:paraId="0000011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3.77</w:t>
            </w:r>
          </w:p>
        </w:tc>
        <w:tc>
          <w:tcPr>
            <w:tcMar>
              <w:top w:w="100.0" w:type="dxa"/>
              <w:left w:w="100.0" w:type="dxa"/>
              <w:bottom w:w="100.0" w:type="dxa"/>
              <w:right w:w="100.0" w:type="dxa"/>
            </w:tcMar>
            <w:vAlign w:val="center"/>
          </w:tcPr>
          <w:p w:rsidR="00000000" w:rsidDel="00000000" w:rsidP="00000000" w:rsidRDefault="00000000" w:rsidRPr="00000000" w14:paraId="0000011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w:t>
            </w:r>
          </w:p>
        </w:tc>
      </w:tr>
      <w:tr>
        <w:trPr>
          <w:cantSplit w:val="0"/>
          <w:trHeight w:val="39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11F">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Philanthropic Responsibility (PH)</w:t>
            </w:r>
          </w:p>
        </w:tc>
        <w:tc>
          <w:tcPr>
            <w:tcMar>
              <w:top w:w="100.0" w:type="dxa"/>
              <w:left w:w="100.0" w:type="dxa"/>
              <w:bottom w:w="100.0" w:type="dxa"/>
              <w:right w:w="100.0" w:type="dxa"/>
            </w:tcMar>
            <w:vAlign w:val="center"/>
          </w:tcPr>
          <w:p w:rsidR="00000000" w:rsidDel="00000000" w:rsidP="00000000" w:rsidRDefault="00000000" w:rsidRPr="00000000" w14:paraId="0000012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Mar>
              <w:top w:w="100.0" w:type="dxa"/>
              <w:left w:w="100.0" w:type="dxa"/>
              <w:bottom w:w="100.0" w:type="dxa"/>
              <w:right w:w="100.0" w:type="dxa"/>
            </w:tcMar>
            <w:vAlign w:val="center"/>
          </w:tcPr>
          <w:p w:rsidR="00000000" w:rsidDel="00000000" w:rsidP="00000000" w:rsidRDefault="00000000" w:rsidRPr="00000000" w14:paraId="0000012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100.0" w:type="dxa"/>
              <w:left w:w="100.0" w:type="dxa"/>
              <w:bottom w:w="100.0" w:type="dxa"/>
              <w:right w:w="100.0" w:type="dxa"/>
            </w:tcMar>
            <w:vAlign w:val="center"/>
          </w:tcPr>
          <w:p w:rsidR="00000000" w:rsidDel="00000000" w:rsidP="00000000" w:rsidRDefault="00000000" w:rsidRPr="00000000" w14:paraId="0000012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vAlign w:val="center"/>
          </w:tcPr>
          <w:p w:rsidR="00000000" w:rsidDel="00000000" w:rsidP="00000000" w:rsidRDefault="00000000" w:rsidRPr="00000000" w14:paraId="0000012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3.56</w:t>
            </w:r>
          </w:p>
        </w:tc>
        <w:tc>
          <w:tcPr>
            <w:tcMar>
              <w:top w:w="100.0" w:type="dxa"/>
              <w:left w:w="100.0" w:type="dxa"/>
              <w:bottom w:w="100.0" w:type="dxa"/>
              <w:right w:w="100.0" w:type="dxa"/>
            </w:tcMar>
            <w:vAlign w:val="center"/>
          </w:tcPr>
          <w:p w:rsidR="00000000" w:rsidDel="00000000" w:rsidP="00000000" w:rsidRDefault="00000000" w:rsidRPr="00000000" w14:paraId="0000012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w:t>
            </w:r>
          </w:p>
        </w:tc>
      </w:tr>
      <w:tr>
        <w:trPr>
          <w:cantSplit w:val="0"/>
          <w:trHeight w:val="45"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125">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Academic Responsibility (AC)</w:t>
            </w:r>
          </w:p>
        </w:tc>
        <w:tc>
          <w:tcPr>
            <w:tcMar>
              <w:top w:w="100.0" w:type="dxa"/>
              <w:left w:w="100.0" w:type="dxa"/>
              <w:bottom w:w="100.0" w:type="dxa"/>
              <w:right w:w="100.0" w:type="dxa"/>
            </w:tcMar>
            <w:vAlign w:val="center"/>
          </w:tcPr>
          <w:p w:rsidR="00000000" w:rsidDel="00000000" w:rsidP="00000000" w:rsidRDefault="00000000" w:rsidRPr="00000000" w14:paraId="0000012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Mar>
              <w:top w:w="100.0" w:type="dxa"/>
              <w:left w:w="100.0" w:type="dxa"/>
              <w:bottom w:w="100.0" w:type="dxa"/>
              <w:right w:w="100.0" w:type="dxa"/>
            </w:tcMar>
            <w:vAlign w:val="center"/>
          </w:tcPr>
          <w:p w:rsidR="00000000" w:rsidDel="00000000" w:rsidP="00000000" w:rsidRDefault="00000000" w:rsidRPr="00000000" w14:paraId="0000012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100.0" w:type="dxa"/>
              <w:left w:w="100.0" w:type="dxa"/>
              <w:bottom w:w="100.0" w:type="dxa"/>
              <w:right w:w="100.0" w:type="dxa"/>
            </w:tcMar>
            <w:vAlign w:val="center"/>
          </w:tcPr>
          <w:p w:rsidR="00000000" w:rsidDel="00000000" w:rsidP="00000000" w:rsidRDefault="00000000" w:rsidRPr="00000000" w14:paraId="0000012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vAlign w:val="center"/>
          </w:tcPr>
          <w:p w:rsidR="00000000" w:rsidDel="00000000" w:rsidP="00000000" w:rsidRDefault="00000000" w:rsidRPr="00000000" w14:paraId="0000012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3.54</w:t>
            </w:r>
          </w:p>
        </w:tc>
        <w:tc>
          <w:tcPr>
            <w:tcMar>
              <w:top w:w="100.0" w:type="dxa"/>
              <w:left w:w="100.0" w:type="dxa"/>
              <w:bottom w:w="100.0" w:type="dxa"/>
              <w:right w:w="100.0" w:type="dxa"/>
            </w:tcMar>
            <w:vAlign w:val="center"/>
          </w:tcPr>
          <w:p w:rsidR="00000000" w:rsidDel="00000000" w:rsidP="00000000" w:rsidRDefault="00000000" w:rsidRPr="00000000" w14:paraId="0000012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w:t>
            </w:r>
          </w:p>
        </w:tc>
      </w:tr>
      <w:tr>
        <w:trPr>
          <w:cantSplit w:val="0"/>
          <w:trHeight w:val="75"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12B">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 Relations (MR)</w:t>
            </w:r>
          </w:p>
        </w:tc>
        <w:tc>
          <w:tcPr>
            <w:tcMar>
              <w:top w:w="100.0" w:type="dxa"/>
              <w:left w:w="100.0" w:type="dxa"/>
              <w:bottom w:w="100.0" w:type="dxa"/>
              <w:right w:w="100.0" w:type="dxa"/>
            </w:tcMar>
            <w:vAlign w:val="center"/>
          </w:tcPr>
          <w:p w:rsidR="00000000" w:rsidDel="00000000" w:rsidP="00000000" w:rsidRDefault="00000000" w:rsidRPr="00000000" w14:paraId="0000012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vAlign w:val="center"/>
          </w:tcPr>
          <w:p w:rsidR="00000000" w:rsidDel="00000000" w:rsidP="00000000" w:rsidRDefault="00000000" w:rsidRPr="00000000" w14:paraId="0000012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100.0" w:type="dxa"/>
              <w:left w:w="100.0" w:type="dxa"/>
              <w:bottom w:w="100.0" w:type="dxa"/>
              <w:right w:w="100.0" w:type="dxa"/>
            </w:tcMar>
            <w:vAlign w:val="center"/>
          </w:tcPr>
          <w:p w:rsidR="00000000" w:rsidDel="00000000" w:rsidP="00000000" w:rsidRDefault="00000000" w:rsidRPr="00000000" w14:paraId="0000012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vAlign w:val="center"/>
          </w:tcPr>
          <w:p w:rsidR="00000000" w:rsidDel="00000000" w:rsidP="00000000" w:rsidRDefault="00000000" w:rsidRPr="00000000" w14:paraId="0000012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3.42</w:t>
            </w:r>
          </w:p>
        </w:tc>
        <w:tc>
          <w:tcPr>
            <w:tcMar>
              <w:top w:w="100.0" w:type="dxa"/>
              <w:left w:w="100.0" w:type="dxa"/>
              <w:bottom w:w="100.0" w:type="dxa"/>
              <w:right w:w="100.0" w:type="dxa"/>
            </w:tcMar>
            <w:vAlign w:val="center"/>
          </w:tcPr>
          <w:p w:rsidR="00000000" w:rsidDel="00000000" w:rsidP="00000000" w:rsidRDefault="00000000" w:rsidRPr="00000000" w14:paraId="0000013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w:t>
            </w:r>
          </w:p>
        </w:tc>
      </w:tr>
      <w:tr>
        <w:trPr>
          <w:cantSplit w:val="0"/>
          <w:trHeight w:val="248"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131">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USR Communication (CM)</w:t>
            </w:r>
          </w:p>
        </w:tc>
        <w:tc>
          <w:tcPr>
            <w:tcMar>
              <w:top w:w="100.0" w:type="dxa"/>
              <w:left w:w="100.0" w:type="dxa"/>
              <w:bottom w:w="100.0" w:type="dxa"/>
              <w:right w:w="100.0" w:type="dxa"/>
            </w:tcMar>
            <w:vAlign w:val="center"/>
          </w:tcPr>
          <w:p w:rsidR="00000000" w:rsidDel="00000000" w:rsidP="00000000" w:rsidRDefault="00000000" w:rsidRPr="00000000" w14:paraId="0000013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vAlign w:val="center"/>
          </w:tcPr>
          <w:p w:rsidR="00000000" w:rsidDel="00000000" w:rsidP="00000000" w:rsidRDefault="00000000" w:rsidRPr="00000000" w14:paraId="0000013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100.0" w:type="dxa"/>
              <w:left w:w="100.0" w:type="dxa"/>
              <w:bottom w:w="100.0" w:type="dxa"/>
              <w:right w:w="100.0" w:type="dxa"/>
            </w:tcMar>
            <w:vAlign w:val="center"/>
          </w:tcPr>
          <w:p w:rsidR="00000000" w:rsidDel="00000000" w:rsidP="00000000" w:rsidRDefault="00000000" w:rsidRPr="00000000" w14:paraId="0000013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vAlign w:val="center"/>
          </w:tcPr>
          <w:p w:rsidR="00000000" w:rsidDel="00000000" w:rsidP="00000000" w:rsidRDefault="00000000" w:rsidRPr="00000000" w14:paraId="0000013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3.38</w:t>
            </w:r>
          </w:p>
        </w:tc>
        <w:tc>
          <w:tcPr>
            <w:tcMar>
              <w:top w:w="100.0" w:type="dxa"/>
              <w:left w:w="100.0" w:type="dxa"/>
              <w:bottom w:w="100.0" w:type="dxa"/>
              <w:right w:w="100.0" w:type="dxa"/>
            </w:tcMar>
            <w:vAlign w:val="center"/>
          </w:tcPr>
          <w:p w:rsidR="00000000" w:rsidDel="00000000" w:rsidP="00000000" w:rsidRDefault="00000000" w:rsidRPr="00000000" w14:paraId="0000013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37">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Campus Image (IM)</w:t>
            </w:r>
          </w:p>
        </w:tc>
        <w:tc>
          <w:tcPr>
            <w:tcMar>
              <w:top w:w="100.0" w:type="dxa"/>
              <w:left w:w="100.0" w:type="dxa"/>
              <w:bottom w:w="100.0" w:type="dxa"/>
              <w:right w:w="100.0" w:type="dxa"/>
            </w:tcMar>
            <w:vAlign w:val="center"/>
          </w:tcPr>
          <w:p w:rsidR="00000000" w:rsidDel="00000000" w:rsidP="00000000" w:rsidRDefault="00000000" w:rsidRPr="00000000" w14:paraId="0000013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Mar>
              <w:top w:w="100.0" w:type="dxa"/>
              <w:left w:w="100.0" w:type="dxa"/>
              <w:bottom w:w="100.0" w:type="dxa"/>
              <w:right w:w="100.0" w:type="dxa"/>
            </w:tcMar>
            <w:vAlign w:val="center"/>
          </w:tcPr>
          <w:p w:rsidR="00000000" w:rsidDel="00000000" w:rsidP="00000000" w:rsidRDefault="00000000" w:rsidRPr="00000000" w14:paraId="0000013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100.0" w:type="dxa"/>
              <w:left w:w="100.0" w:type="dxa"/>
              <w:bottom w:w="100.0" w:type="dxa"/>
              <w:right w:w="100.0" w:type="dxa"/>
            </w:tcMar>
            <w:vAlign w:val="center"/>
          </w:tcPr>
          <w:p w:rsidR="00000000" w:rsidDel="00000000" w:rsidP="00000000" w:rsidRDefault="00000000" w:rsidRPr="00000000" w14:paraId="0000013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vAlign w:val="center"/>
          </w:tcPr>
          <w:p w:rsidR="00000000" w:rsidDel="00000000" w:rsidP="00000000" w:rsidRDefault="00000000" w:rsidRPr="00000000" w14:paraId="0000013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3.61</w:t>
            </w:r>
          </w:p>
        </w:tc>
        <w:tc>
          <w:tcPr>
            <w:tcMar>
              <w:top w:w="100.0" w:type="dxa"/>
              <w:left w:w="100.0" w:type="dxa"/>
              <w:bottom w:w="100.0" w:type="dxa"/>
              <w:right w:w="100.0" w:type="dxa"/>
            </w:tcMar>
            <w:vAlign w:val="center"/>
          </w:tcPr>
          <w:p w:rsidR="00000000" w:rsidDel="00000000" w:rsidP="00000000" w:rsidRDefault="00000000" w:rsidRPr="00000000" w14:paraId="0000013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w:t>
            </w:r>
          </w:p>
        </w:tc>
      </w:tr>
    </w:tbl>
    <w:p w:rsidR="00000000" w:rsidDel="00000000" w:rsidP="00000000" w:rsidRDefault="00000000" w:rsidRPr="00000000" w14:paraId="0000013D">
      <w:pPr>
        <w:spacing w:after="120" w:line="288" w:lineRule="auto"/>
        <w:ind w:firstLine="426"/>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Taken together, these descriptive results show that students generally hold positive but nuanced perceptions of FTU’s social responsibilities and image. High scores in learning and ethics highlight institutional strengths, while lower ratings in communication, engagement, and MR point to areas for development. These insights set a foundation for further factor and structural analyses, helping to identify which dimensions of USR most strongly shape campus image.</w:t>
      </w:r>
    </w:p>
    <w:p w:rsidR="00000000" w:rsidDel="00000000" w:rsidP="00000000" w:rsidRDefault="00000000" w:rsidRPr="00000000" w14:paraId="0000013F">
      <w:pPr>
        <w:pStyle w:val="Heading2"/>
        <w:spacing w:after="0" w:lineRule="auto"/>
        <w:rPr/>
      </w:pPr>
      <w:bookmarkStart w:colFirst="0" w:colLast="0" w:name="_heading=h.iwz64brmmi96" w:id="11"/>
      <w:bookmarkEnd w:id="11"/>
      <w:r w:rsidDel="00000000" w:rsidR="00000000" w:rsidRPr="00000000">
        <w:rPr>
          <w:rtl w:val="0"/>
        </w:rPr>
        <w:t xml:space="preserve">4.2. Reliability and Validity (EFA + Cronbach’s α)</w:t>
      </w:r>
    </w:p>
    <w:p w:rsidR="00000000" w:rsidDel="00000000" w:rsidP="00000000" w:rsidRDefault="00000000" w:rsidRPr="00000000" w14:paraId="00000140">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Following the process of data cleaning, 350 valid data were kept to be analyzed using the exploratory factor analysis (EFA) and 69 incomplete or invalid questionnaires were eliminated. The reliability analysis demonstrated desired internal consistency where all of the constructs have Cronbach alpha values above 0.70 (USR: a = 0.745; MR: a = 0.803; Campus Image: a = 0.818). The total scale also proved to be reliable (a = 0.825) and the corrected item-total correlations were between 0.24 and 0.42. The values of Alpha if item deleted were not having much difference ([?] 0.817-0.824), so that removal of any item was not going to significantly enhance reliability.</w:t>
      </w:r>
    </w:p>
    <w:p w:rsidR="00000000" w:rsidDel="00000000" w:rsidP="00000000" w:rsidRDefault="00000000" w:rsidRPr="00000000" w14:paraId="00000141">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Adequacy of the sample was validated, and the KMO value was 0.783, and the test of Bartlett of sphericity was significant (kh2 = 3458.157, df = 465, p &lt;.001), which justified the appropriateness of the data to the factor analysis. Eight items were kept according to eigenvalues and interpretability and they explain around 49.17 per cent of total variance, which is satisfactory in explanatory research in the social sciences.</w:t>
      </w:r>
    </w:p>
    <w:p w:rsidR="00000000" w:rsidDel="00000000" w:rsidP="00000000" w:rsidRDefault="00000000" w:rsidRPr="00000000" w14:paraId="00000142">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communalities that were extracted were in the range of 0.35 to 0.60 which implies that the factors that were retained were capturing a significant percentage of the item variance. The Varimax-rotated factor model depicted definite first loading (above 0.50) and insignificant cross-loading; thus, all the items were included in further CFA. The findings generally have a good level of reliability and construct validity in the exploratory stage.</w:t>
      </w:r>
    </w:p>
    <w:p w:rsidR="00000000" w:rsidDel="00000000" w:rsidP="00000000" w:rsidRDefault="00000000" w:rsidRPr="00000000" w14:paraId="00000143">
      <w:pPr>
        <w:pStyle w:val="Heading2"/>
        <w:spacing w:after="0" w:lineRule="auto"/>
        <w:rPr/>
      </w:pPr>
      <w:bookmarkStart w:colFirst="0" w:colLast="0" w:name="_heading=h.adygehx78qsw" w:id="12"/>
      <w:bookmarkEnd w:id="12"/>
      <w:r w:rsidDel="00000000" w:rsidR="00000000" w:rsidRPr="00000000">
        <w:rPr>
          <w:rtl w:val="0"/>
        </w:rPr>
        <w:t xml:space="preserve">4.3. Confirmatory Factor Analysis (CFA)</w:t>
      </w:r>
    </w:p>
    <w:p w:rsidR="00000000" w:rsidDel="00000000" w:rsidP="00000000" w:rsidRDefault="00000000" w:rsidRPr="00000000" w14:paraId="0000014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373253" cy="5611120"/>
            <wp:effectExtent b="0" l="0" r="0" t="0"/>
            <wp:docPr id="7" name="image3.png"/>
            <a:graphic>
              <a:graphicData uri="http://schemas.openxmlformats.org/drawingml/2006/picture">
                <pic:pic>
                  <pic:nvPicPr>
                    <pic:cNvPr id="0" name="image3.png"/>
                    <pic:cNvPicPr preferRelativeResize="0"/>
                  </pic:nvPicPr>
                  <pic:blipFill>
                    <a:blip r:embed="rId10"/>
                    <a:srcRect b="0" l="1463" r="0" t="1238"/>
                    <a:stretch>
                      <a:fillRect/>
                    </a:stretch>
                  </pic:blipFill>
                  <pic:spPr>
                    <a:xfrm>
                      <a:off x="0" y="0"/>
                      <a:ext cx="4373253" cy="5611120"/>
                    </a:xfrm>
                    <a:prstGeom prst="rect"/>
                    <a:ln/>
                  </pic:spPr>
                </pic:pic>
              </a:graphicData>
            </a:graphic>
          </wp:inline>
        </w:drawing>
      </w:r>
      <w:r w:rsidDel="00000000" w:rsidR="00000000" w:rsidRPr="00000000">
        <w:rPr>
          <w:rtl w:val="0"/>
        </w:rPr>
      </w:r>
    </w:p>
    <w:p w:rsidR="00000000" w:rsidDel="00000000" w:rsidP="00000000" w:rsidRDefault="00000000" w:rsidRPr="00000000" w14:paraId="00000145">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2: </w:t>
      </w:r>
      <w:r w:rsidDel="00000000" w:rsidR="00000000" w:rsidRPr="00000000">
        <w:rPr>
          <w:rFonts w:ascii="Times New Roman" w:cs="Times New Roman" w:eastAsia="Times New Roman" w:hAnsi="Times New Roman"/>
          <w:sz w:val="24"/>
          <w:szCs w:val="24"/>
          <w:rtl w:val="0"/>
        </w:rPr>
        <w:t xml:space="preserve">CFA Results</w:t>
      </w:r>
    </w:p>
    <w:p w:rsidR="00000000" w:rsidDel="00000000" w:rsidP="00000000" w:rsidRDefault="00000000" w:rsidRPr="00000000" w14:paraId="00000146">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Calculations by the author (2025)</w:t>
      </w:r>
      <w:r w:rsidDel="00000000" w:rsidR="00000000" w:rsidRPr="00000000">
        <w:rPr>
          <w:rtl w:val="0"/>
        </w:rPr>
      </w:r>
    </w:p>
    <w:p w:rsidR="00000000" w:rsidDel="00000000" w:rsidP="00000000" w:rsidRDefault="00000000" w:rsidRPr="00000000" w14:paraId="00000147">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Confirmatory factor analysis was used to determine whether the indicators were observed to measure the latent constructs of USR, MR and Campus Image in an adequate manner. The chi-square test was significant (kh2(406) = 535.63, p &lt; .001) although the value is usually significant in large samples, but the ratio of kh2/df = 1.319; this means that the model fits very well.</w:t>
      </w:r>
    </w:p>
    <w:p w:rsidR="00000000" w:rsidDel="00000000" w:rsidP="00000000" w:rsidRDefault="00000000" w:rsidRPr="00000000" w14:paraId="00000148">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Model adequacy was also guaranteed by other fit indices. CFI (0.958) and TLI (0.952) were greater than the recommended value of 0.95 and RMSEA was 0.030 (90% CI [0.023, 0.037], PCLOSE = 1.000). GPI was 0.913 and SRMR was 0.041 which are within reasonable limits. Collectively, these indicators show great overall model fit (Hu and Bentler, 1999; Kline, 2016).</w:t>
      </w:r>
    </w:p>
    <w:p w:rsidR="00000000" w:rsidDel="00000000" w:rsidP="00000000" w:rsidRDefault="00000000" w:rsidRPr="00000000" w14:paraId="00000149">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of the standardized factor loadings were greater than 0.50 and significant (p &lt;.001), which were in favor of strong convergent validity. None of the problematic loadings were identified, and all the items were saved and subjected to further SEM analysis. On the whole, the CFA outcomes support the construct validity of the measurement model and explain the use of latent variables in the structural model.</w:t>
      </w:r>
    </w:p>
    <w:p w:rsidR="00000000" w:rsidDel="00000000" w:rsidP="00000000" w:rsidRDefault="00000000" w:rsidRPr="00000000" w14:paraId="0000014A">
      <w:pPr>
        <w:pStyle w:val="Heading2"/>
        <w:spacing w:after="0" w:lineRule="auto"/>
        <w:rPr/>
      </w:pPr>
      <w:bookmarkStart w:colFirst="0" w:colLast="0" w:name="_heading=h.hefnt3a6mjhx" w:id="13"/>
      <w:bookmarkEnd w:id="13"/>
      <w:r w:rsidDel="00000000" w:rsidR="00000000" w:rsidRPr="00000000">
        <w:rPr>
          <w:rtl w:val="0"/>
        </w:rPr>
        <w:t xml:space="preserve">4.4. Structural Equation Modeling (SEM)</w:t>
      </w:r>
    </w:p>
    <w:p w:rsidR="00000000" w:rsidDel="00000000" w:rsidP="00000000" w:rsidRDefault="00000000" w:rsidRPr="00000000" w14:paraId="0000014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822617" cy="3872368"/>
            <wp:effectExtent b="0" l="0" r="0" t="0"/>
            <wp:docPr id="6" name="image2.png"/>
            <a:graphic>
              <a:graphicData uri="http://schemas.openxmlformats.org/drawingml/2006/picture">
                <pic:pic>
                  <pic:nvPicPr>
                    <pic:cNvPr id="0" name="image2.png"/>
                    <pic:cNvPicPr preferRelativeResize="0"/>
                  </pic:nvPicPr>
                  <pic:blipFill>
                    <a:blip r:embed="rId11"/>
                    <a:srcRect b="0" l="0" r="0" t="6462"/>
                    <a:stretch>
                      <a:fillRect/>
                    </a:stretch>
                  </pic:blipFill>
                  <pic:spPr>
                    <a:xfrm>
                      <a:off x="0" y="0"/>
                      <a:ext cx="5822617" cy="3872368"/>
                    </a:xfrm>
                    <a:prstGeom prst="rect"/>
                    <a:ln/>
                  </pic:spPr>
                </pic:pic>
              </a:graphicData>
            </a:graphic>
          </wp:inline>
        </w:drawing>
      </w:r>
      <w:r w:rsidDel="00000000" w:rsidR="00000000" w:rsidRPr="00000000">
        <w:rPr>
          <w:rtl w:val="0"/>
        </w:rPr>
      </w:r>
    </w:p>
    <w:p w:rsidR="00000000" w:rsidDel="00000000" w:rsidP="00000000" w:rsidRDefault="00000000" w:rsidRPr="00000000" w14:paraId="0000014C">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3:</w:t>
      </w:r>
      <w:r w:rsidDel="00000000" w:rsidR="00000000" w:rsidRPr="00000000">
        <w:rPr>
          <w:rFonts w:ascii="Times New Roman" w:cs="Times New Roman" w:eastAsia="Times New Roman" w:hAnsi="Times New Roman"/>
          <w:sz w:val="24"/>
          <w:szCs w:val="24"/>
          <w:rtl w:val="0"/>
        </w:rPr>
        <w:t xml:space="preserve"> SEM Results</w:t>
      </w:r>
    </w:p>
    <w:p w:rsidR="00000000" w:rsidDel="00000000" w:rsidP="00000000" w:rsidRDefault="00000000" w:rsidRPr="00000000" w14:paraId="0000014D">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Calculations by the author (2025)</w:t>
      </w:r>
      <w:r w:rsidDel="00000000" w:rsidR="00000000" w:rsidRPr="00000000">
        <w:rPr>
          <w:rtl w:val="0"/>
        </w:rPr>
      </w:r>
    </w:p>
    <w:p w:rsidR="00000000" w:rsidDel="00000000" w:rsidP="00000000" w:rsidRDefault="00000000" w:rsidRPr="00000000" w14:paraId="0000014E">
      <w:pPr>
        <w:spacing w:after="120" w:line="288" w:lineRule="auto"/>
        <w:ind w:firstLine="42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Structural equation modeling was conducted in AMOS using Maximum Likelihood estimation to test the hypothesized relationships among USR, MR, and Campus Image. The measurement model had already demonstrated excellent fit (χ²(406) = 535.63, χ²/df = 1.319; RMSEA = 0.030, 90% CI [0.023, 0.037], PCLOSE = 1.000; CFI = 0.958; TLI = 0.952; GFI = 0.913), supporting the use of these latent constructs in the structural analysis.</w:t>
      </w:r>
      <w:r w:rsidDel="00000000" w:rsidR="00000000" w:rsidRPr="00000000">
        <w:rPr>
          <w:rtl w:val="0"/>
        </w:rPr>
      </w:r>
    </w:p>
    <w:p w:rsidR="00000000" w:rsidDel="00000000" w:rsidP="00000000" w:rsidRDefault="00000000" w:rsidRPr="00000000" w14:paraId="0000014F">
      <w:pPr>
        <w:spacing w:after="120" w:line="288" w:lineRule="auto"/>
        <w:ind w:firstLine="426"/>
        <w:rPr>
          <w:rFonts w:ascii="Times New Roman" w:cs="Times New Roman" w:eastAsia="Times New Roman" w:hAnsi="Times New Roman"/>
          <w:sz w:val="24"/>
          <w:szCs w:val="24"/>
        </w:rPr>
      </w:pPr>
      <w:sdt>
        <w:sdtPr>
          <w:id w:val="422316023"/>
          <w:tag w:val="goog_rdk_1"/>
        </w:sdtPr>
        <w:sdtContent>
          <w:r w:rsidDel="00000000" w:rsidR="00000000" w:rsidRPr="00000000">
            <w:rPr>
              <w:rFonts w:ascii="Cardo" w:cs="Cardo" w:eastAsia="Cardo" w:hAnsi="Cardo"/>
              <w:sz w:val="24"/>
              <w:szCs w:val="24"/>
              <w:rtl w:val="0"/>
            </w:rPr>
            <w:t xml:space="preserve">One standardized loading (USR → LE) exceeded 1.0, which indicates a potential Heywood case. However, as this path was not central to the tested hypotheses, the overall SEM results remain interpretable.</w:t>
          </w:r>
        </w:sdtContent>
      </w:sdt>
    </w:p>
    <w:p w:rsidR="00000000" w:rsidDel="00000000" w:rsidP="00000000" w:rsidRDefault="00000000" w:rsidRPr="00000000" w14:paraId="00000150">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structural model results (standardized estimates) were as follows: </w:t>
      </w:r>
    </w:p>
    <w:p w:rsidR="00000000" w:rsidDel="00000000" w:rsidP="00000000" w:rsidRDefault="00000000" w:rsidRPr="00000000" w14:paraId="00000151">
      <w:pPr>
        <w:numPr>
          <w:ilvl w:val="0"/>
          <w:numId w:val="1"/>
        </w:numPr>
        <w:spacing w:after="120" w:line="288" w:lineRule="auto"/>
        <w:ind w:left="0" w:firstLine="426"/>
        <w:jc w:val="both"/>
        <w:rPr>
          <w:rFonts w:ascii="Times New Roman" w:cs="Times New Roman" w:eastAsia="Times New Roman" w:hAnsi="Times New Roman"/>
          <w:sz w:val="24"/>
          <w:szCs w:val="24"/>
        </w:rPr>
      </w:pPr>
      <w:sdt>
        <w:sdtPr>
          <w:id w:val="-1894465875"/>
          <w:tag w:val="goog_rdk_2"/>
        </w:sdtPr>
        <w:sdtContent>
          <w:r w:rsidDel="00000000" w:rsidR="00000000" w:rsidRPr="00000000">
            <w:rPr>
              <w:rFonts w:ascii="Cardo" w:cs="Cardo" w:eastAsia="Cardo" w:hAnsi="Cardo"/>
              <w:sz w:val="24"/>
              <w:szCs w:val="24"/>
              <w:rtl w:val="0"/>
            </w:rPr>
            <w:t xml:space="preserve">USR → MR (β = 0.069, p = 0.185) - not significant. Because this “a-path” was not significant, the data do not provide straightforward support for a full mediation of USR → Campus Image via MR.</w:t>
          </w:r>
        </w:sdtContent>
      </w:sdt>
    </w:p>
    <w:p w:rsidR="00000000" w:rsidDel="00000000" w:rsidP="00000000" w:rsidRDefault="00000000" w:rsidRPr="00000000" w14:paraId="00000152">
      <w:pPr>
        <w:numPr>
          <w:ilvl w:val="0"/>
          <w:numId w:val="1"/>
        </w:numPr>
        <w:spacing w:after="120" w:line="288" w:lineRule="auto"/>
        <w:ind w:left="0" w:firstLine="426"/>
        <w:jc w:val="both"/>
        <w:rPr>
          <w:rFonts w:ascii="Times New Roman" w:cs="Times New Roman" w:eastAsia="Times New Roman" w:hAnsi="Times New Roman"/>
          <w:sz w:val="24"/>
          <w:szCs w:val="24"/>
        </w:rPr>
      </w:pPr>
      <w:sdt>
        <w:sdtPr>
          <w:id w:val="745967222"/>
          <w:tag w:val="goog_rdk_3"/>
        </w:sdtPr>
        <w:sdtContent>
          <w:r w:rsidDel="00000000" w:rsidR="00000000" w:rsidRPr="00000000">
            <w:rPr>
              <w:rFonts w:ascii="Cardo" w:cs="Cardo" w:eastAsia="Cardo" w:hAnsi="Cardo"/>
              <w:sz w:val="24"/>
              <w:szCs w:val="24"/>
              <w:rtl w:val="0"/>
            </w:rPr>
            <w:t xml:space="preserve">MR → Campus Image (β = 0.268, p = 0.043) - significant, indicating that stronger MR are associated with better campus image</w:t>
          </w:r>
        </w:sdtContent>
      </w:sdt>
    </w:p>
    <w:p w:rsidR="00000000" w:rsidDel="00000000" w:rsidP="00000000" w:rsidRDefault="00000000" w:rsidRPr="00000000" w14:paraId="00000153">
      <w:pPr>
        <w:numPr>
          <w:ilvl w:val="0"/>
          <w:numId w:val="1"/>
        </w:numPr>
        <w:spacing w:after="120" w:line="288" w:lineRule="auto"/>
        <w:ind w:left="0" w:firstLine="426"/>
        <w:jc w:val="both"/>
        <w:rPr>
          <w:rFonts w:ascii="Times New Roman" w:cs="Times New Roman" w:eastAsia="Times New Roman" w:hAnsi="Times New Roman"/>
          <w:sz w:val="24"/>
          <w:szCs w:val="24"/>
        </w:rPr>
      </w:pPr>
      <w:sdt>
        <w:sdtPr>
          <w:id w:val="1333252119"/>
          <w:tag w:val="goog_rdk_4"/>
        </w:sdtPr>
        <w:sdtContent>
          <w:r w:rsidDel="00000000" w:rsidR="00000000" w:rsidRPr="00000000">
            <w:rPr>
              <w:rFonts w:ascii="Cardo" w:cs="Cardo" w:eastAsia="Cardo" w:hAnsi="Cardo"/>
              <w:sz w:val="24"/>
              <w:szCs w:val="24"/>
              <w:rtl w:val="0"/>
            </w:rPr>
            <w:t xml:space="preserve">USR → Campus Image (direct) (β = 0.133, p &lt; 0.001) - significant, demonstrating a positive direct effect of perceived USR on campus image.</w:t>
          </w:r>
        </w:sdtContent>
      </w:sdt>
    </w:p>
    <w:p w:rsidR="00000000" w:rsidDel="00000000" w:rsidP="00000000" w:rsidRDefault="00000000" w:rsidRPr="00000000" w14:paraId="00000154">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suggest that direct positive impact of USR on Campus Image is high, as well as MR are also significant predictors of Campus Image but do not act as an intermediary. Rather, USR directly affects Campus Image, and Media Relations have an independent effect on reinforcing the perception of students, indicating that the sequential mediation pathway is not justified.</w:t>
      </w:r>
    </w:p>
    <w:p w:rsidR="00000000" w:rsidDel="00000000" w:rsidP="00000000" w:rsidRDefault="00000000" w:rsidRPr="00000000" w14:paraId="00000155">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result was also supported by bootstrapping with 5,000 resamples where the indirect effect of USR on Campus Image through Media Relations did not show any significant result (b = 0.019, 95% CI [-0.011, 0.05]). Based on this, the relationship between the USR-Campus Image does not depend on Media Relations in this data.</w:t>
      </w:r>
    </w:p>
    <w:p w:rsidR="00000000" w:rsidDel="00000000" w:rsidP="00000000" w:rsidRDefault="00000000" w:rsidRPr="00000000" w14:paraId="00000156">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model correlated 7% of variance in the MR and 12% variance in the Campus Image, which suggests that though the effects are significant statistically, there are other other factors that are likely to influence the formation of image of the students. At the indicator-level, analysis indicated good quality measurement with most standardized loadings being above 0.65 and squared multiple correlations being above 0.45. It is important to note that peer endorsement was found to be a significant element of the Campus Image, and interactive feedback and collaborative use of media were the elements of MR and USR communication.</w:t>
      </w:r>
    </w:p>
    <w:p w:rsidR="00000000" w:rsidDel="00000000" w:rsidP="00000000" w:rsidRDefault="00000000" w:rsidRPr="00000000" w14:paraId="00000157">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whole, the findings of the SEM allow to support a model according to which USR and MR are independent but complemented determinants of the Campus Image. In line with the Stakeholder Theory, the students seem to measure the USR as being an immediate institutional obligation and MR as an added, separate layer of influence instead of a channel of influence.</w:t>
      </w:r>
    </w:p>
    <w:p w:rsidR="00000000" w:rsidDel="00000000" w:rsidP="00000000" w:rsidRDefault="00000000" w:rsidRPr="00000000" w14:paraId="00000158">
      <w:pPr>
        <w:pStyle w:val="Heading2"/>
        <w:spacing w:after="0" w:lineRule="auto"/>
        <w:rPr/>
      </w:pPr>
      <w:bookmarkStart w:colFirst="0" w:colLast="0" w:name="_heading=h.pixjls6y2fa9" w:id="14"/>
      <w:bookmarkEnd w:id="14"/>
      <w:r w:rsidDel="00000000" w:rsidR="00000000" w:rsidRPr="00000000">
        <w:rPr>
          <w:rtl w:val="0"/>
        </w:rPr>
        <w:t xml:space="preserve">4.5. Discussion</w:t>
      </w:r>
    </w:p>
    <w:p w:rsidR="00000000" w:rsidDel="00000000" w:rsidP="00000000" w:rsidRDefault="00000000" w:rsidRPr="00000000" w14:paraId="00000159">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Following the test of the structural model with the help of SEM, the interrelations between USR and MR with Campus Image were analyzed with the help of path coefficients, p-values, and confidence intervals to examine the direct and indirect impacts. The result of these findings is summarized in Table 12 and indicates the degree of support of the proposed hypotheses.</w:t>
      </w:r>
    </w:p>
    <w:p w:rsidR="00000000" w:rsidDel="00000000" w:rsidP="00000000" w:rsidRDefault="00000000" w:rsidRPr="00000000" w14:paraId="0000015A">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have revealed that the positive, and directly, effects of the two USR and MR on Campus Image are positive in H2 and H3. Even though the impact of the USR is also considerable at the 5 percent point, the impact of MR is stronger ( p &lt; 0.001). These results correspond to the earlier findings on the significance of socially responsible practices in universities that increase the reputation of the institution (Vallaeys, 2014; Latif et al., 2020) and to the literature on branding, where strategic media engagement is a strong image-making activity in higher education (Hemsley-Brown and Oplatka, 2006; Chapleo, 2015).</w:t>
      </w:r>
    </w:p>
    <w:p w:rsidR="00000000" w:rsidDel="00000000" w:rsidP="00000000" w:rsidRDefault="00000000" w:rsidRPr="00000000" w14:paraId="0000015B">
      <w:pPr>
        <w:spacing w:after="120" w:line="288" w:lineRule="auto"/>
        <w:ind w:firstLine="426"/>
        <w:rPr>
          <w:rFonts w:ascii="Times New Roman" w:cs="Times New Roman" w:eastAsia="Times New Roman" w:hAnsi="Times New Roman"/>
          <w:sz w:val="24"/>
          <w:szCs w:val="24"/>
        </w:rPr>
      </w:pPr>
      <w:sdt>
        <w:sdtPr>
          <w:id w:val="-1764430121"/>
          <w:tag w:val="goog_rdk_5"/>
        </w:sdtPr>
        <w:sdtContent>
          <w:r w:rsidDel="00000000" w:rsidR="00000000" w:rsidRPr="00000000">
            <w:rPr>
              <w:rFonts w:ascii="Cardo" w:cs="Cardo" w:eastAsia="Cardo" w:hAnsi="Cardo"/>
              <w:sz w:val="24"/>
              <w:szCs w:val="24"/>
              <w:rtl w:val="0"/>
            </w:rPr>
            <w:t xml:space="preserve">In contrast to other available studies, that assumes MR as a mediator between USR and the institutional image (Perez, 2015; Fatma et al., 2018), this research does not provide any empirical support of this mediation. There is no significant relationship of USR on MR (H1) and the indirect effect of USR on Campus Image through MR (H4) is not significant (β ≈ 0.019; 95% CI [−0.011, 0.052]). These findings imply that MR is not a transmission system of the USR effects in this case.</w:t>
          </w:r>
        </w:sdtContent>
      </w:sdt>
    </w:p>
    <w:p w:rsidR="00000000" w:rsidDel="00000000" w:rsidP="00000000" w:rsidRDefault="00000000" w:rsidRPr="00000000" w14:paraId="0000015C">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variance would be explained by the fact that FTU HCMC is a student based institution. USR initiatives can be interpreted as institutional commitments by the students as they are the primary stakeholders that directly and continuously interact with the university, and not in the communication. Such a sense is in correspondence with the stakeholder theory which suggests that close proximal tie among the stakeholders reduces the imperative of utilizing mediated data (Freeman, 1984; Parmar et al., 2010). In addition, the non-significant USR-MR relationship can be defined through the absence of the strategic inclusion of the USR implementation and media communication that is also observed in the case of higher education institutions in the emerging economies (Ceulemans et al., 2015).</w:t>
      </w:r>
    </w:p>
    <w:p w:rsidR="00000000" w:rsidDel="00000000" w:rsidP="00000000" w:rsidRDefault="00000000" w:rsidRPr="00000000" w14:paraId="0000015D">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the results suggest that USR and MR can be mentioned as not-sequential determinants but independent ones of Campus Image. Practically, it implies that the FTU HCMC should also supplement the substantive USR initiatives as well as the professional media relations as the only tool to increase the reputational impact of the USR.</w:t>
      </w:r>
    </w:p>
    <w:p w:rsidR="00000000" w:rsidDel="00000000" w:rsidP="00000000" w:rsidRDefault="00000000" w:rsidRPr="00000000" w14:paraId="0000015E">
      <w:pPr>
        <w:pStyle w:val="Heading1"/>
        <w:spacing w:before="0" w:line="288" w:lineRule="auto"/>
        <w:rPr/>
      </w:pPr>
      <w:bookmarkStart w:colFirst="0" w:colLast="0" w:name="_heading=h.7969zmc3xo5q" w:id="15"/>
      <w:bookmarkEnd w:id="15"/>
      <w:r w:rsidDel="00000000" w:rsidR="00000000" w:rsidRPr="00000000">
        <w:rPr>
          <w:rtl w:val="0"/>
        </w:rPr>
        <w:t xml:space="preserve">V. Conclusion and Limitations</w:t>
      </w:r>
    </w:p>
    <w:p w:rsidR="00000000" w:rsidDel="00000000" w:rsidP="00000000" w:rsidRDefault="00000000" w:rsidRPr="00000000" w14:paraId="0000015F">
      <w:pPr>
        <w:spacing w:after="120" w:line="288" w:lineRule="auto"/>
        <w:ind w:firstLine="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paper has explored the role of USR and MR in developing the campus image of FTU HCMC. The results indicate that campus image is significantly positively enhanced by USR while MR also have an independent positive impact but are not mediators. This implies that the two factors play different roles in developing the institutional reputation. In the case of FTU HCMC, the implication is obvious, robust USR programs should be accompanied by active and open communication policies, yet they should not be dependent on the media as the sole platforms to deliver impact. In theory, the study is a development of the stakeholder theory since it emphasizes the direct awareness of the students about the USR activities. In practice, it implies that higher education institutions need to invest in responsibility practices and media use simultaneously in order to build more trust and reputation over time.</w:t>
      </w:r>
    </w:p>
    <w:p w:rsidR="00000000" w:rsidDel="00000000" w:rsidP="00000000" w:rsidRDefault="00000000" w:rsidRPr="00000000" w14:paraId="00000160">
      <w:pPr>
        <w:spacing w:after="120" w:line="288" w:lineRule="auto"/>
        <w:ind w:firstLine="42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Nevertheless, this research also has some limitations. To begin with, the research is cross-sectional survey which captures the perceptions of the students at a given time and does not capture any change in the image of the campus as the USR activities and media practices change over time. Second, the sample size is restricted to students of FTU HCMC. Although students are the involved stakeholder, their views might not be a complete reflection of the other stakeholder groups and this limits the generalization of the results. Last but not least, the article concentrates on one campus in a multi-campus university; hence, the findings are context-dependent and can only be applied to FTU HCMC.</w:t>
      </w:r>
      <w:r w:rsidDel="00000000" w:rsidR="00000000" w:rsidRPr="00000000">
        <w:rPr>
          <w:rtl w:val="0"/>
        </w:rPr>
      </w:r>
    </w:p>
    <w:p w:rsidR="00000000" w:rsidDel="00000000" w:rsidP="00000000" w:rsidRDefault="00000000" w:rsidRPr="00000000" w14:paraId="00000161">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TÀI LIỆU THAM KHẢO</w:t>
      </w:r>
    </w:p>
    <w:p w:rsidR="00000000" w:rsidDel="00000000" w:rsidP="00000000" w:rsidRDefault="00000000" w:rsidRPr="00000000" w14:paraId="00000162">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[1] Albu, O. B., &amp; Christensen, L. T. (2024). Shadows in the spotlight: Navigating organizational transparency in digital contexts. </w:t>
      </w:r>
      <w:r w:rsidDel="00000000" w:rsidR="00000000" w:rsidRPr="00000000">
        <w:rPr>
          <w:rFonts w:ascii="Times New Roman" w:cs="Times New Roman" w:eastAsia="Times New Roman" w:hAnsi="Times New Roman"/>
          <w:i w:val="1"/>
          <w:iCs w:val="1"/>
          <w:sz w:val="24"/>
          <w:szCs w:val="24"/>
          <w:rtl w:val="0"/>
        </w:rPr>
        <w:t xml:space="preserve">Schmalenbach Journal of Business Research, 76</w:t>
      </w:r>
      <w:r w:rsidDel="00000000" w:rsidR="00000000" w:rsidRPr="00000000">
        <w:rPr>
          <w:rFonts w:ascii="Times New Roman" w:cs="Times New Roman" w:eastAsia="Times New Roman" w:hAnsi="Times New Roman"/>
          <w:sz w:val="24"/>
          <w:szCs w:val="24"/>
          <w:rtl w:val="0"/>
        </w:rPr>
        <w:t xml:space="preserve">, 641–659.</w:t>
      </w:r>
      <w:hyperlink r:id="rId12">
        <w:r w:rsidDel="00000000" w:rsidR="00000000" w:rsidRPr="00000000">
          <w:rPr>
            <w:rFonts w:ascii="Times New Roman" w:cs="Times New Roman" w:eastAsia="Times New Roman" w:hAnsi="Times New Roman"/>
            <w:sz w:val="24"/>
            <w:szCs w:val="24"/>
            <w:rtl w:val="0"/>
          </w:rPr>
          <w:t xml:space="preserve"> </w:t>
        </w:r>
      </w:hyperlink>
      <w:hyperlink r:id="rId13">
        <w:r w:rsidDel="00000000" w:rsidR="00000000" w:rsidRPr="00000000">
          <w:rPr>
            <w:rFonts w:ascii="Times New Roman" w:cs="Times New Roman" w:eastAsia="Times New Roman" w:hAnsi="Times New Roman"/>
            <w:color w:val="1155cc"/>
            <w:sz w:val="24"/>
            <w:szCs w:val="24"/>
            <w:u w:val="single"/>
            <w:rtl w:val="0"/>
          </w:rPr>
          <w:t xml:space="preserve">https://doi.org/10.1007/s41471-024-00190-6</w:t>
        </w:r>
      </w:hyperlink>
      <w:r w:rsidDel="00000000" w:rsidR="00000000" w:rsidRPr="00000000">
        <w:rPr>
          <w:rtl w:val="0"/>
        </w:rPr>
      </w:r>
    </w:p>
    <w:p w:rsidR="00000000" w:rsidDel="00000000" w:rsidP="00000000" w:rsidRDefault="00000000" w:rsidRPr="00000000" w14:paraId="00000163">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[2] Alshuwaikhat, H. M., &amp; Abubakar, I. R. (2008). An integrated approach to achieving campus sustainability: Assessment of the current campus environmental management practices. </w:t>
      </w:r>
      <w:r w:rsidDel="00000000" w:rsidR="00000000" w:rsidRPr="00000000">
        <w:rPr>
          <w:rFonts w:ascii="Times New Roman" w:cs="Times New Roman" w:eastAsia="Times New Roman" w:hAnsi="Times New Roman"/>
          <w:i w:val="1"/>
          <w:iCs w:val="1"/>
          <w:sz w:val="24"/>
          <w:szCs w:val="24"/>
          <w:rtl w:val="0"/>
        </w:rPr>
        <w:t xml:space="preserve">Journal of Cleaner Production, 16</w:t>
      </w:r>
      <w:r w:rsidDel="00000000" w:rsidR="00000000" w:rsidRPr="00000000">
        <w:rPr>
          <w:rFonts w:ascii="Times New Roman" w:cs="Times New Roman" w:eastAsia="Times New Roman" w:hAnsi="Times New Roman"/>
          <w:sz w:val="24"/>
          <w:szCs w:val="24"/>
          <w:rtl w:val="0"/>
        </w:rPr>
        <w:t xml:space="preserve">(16), 1777–1785.</w:t>
      </w:r>
      <w:hyperlink r:id="rId14">
        <w:r w:rsidDel="00000000" w:rsidR="00000000" w:rsidRPr="00000000">
          <w:rPr>
            <w:rFonts w:ascii="Times New Roman" w:cs="Times New Roman" w:eastAsia="Times New Roman" w:hAnsi="Times New Roman"/>
            <w:sz w:val="24"/>
            <w:szCs w:val="24"/>
            <w:rtl w:val="0"/>
          </w:rPr>
          <w:t xml:space="preserve"> </w:t>
        </w:r>
      </w:hyperlink>
      <w:hyperlink r:id="rId15">
        <w:r w:rsidDel="00000000" w:rsidR="00000000" w:rsidRPr="00000000">
          <w:rPr>
            <w:rFonts w:ascii="Times New Roman" w:cs="Times New Roman" w:eastAsia="Times New Roman" w:hAnsi="Times New Roman"/>
            <w:color w:val="1155cc"/>
            <w:sz w:val="24"/>
            <w:szCs w:val="24"/>
            <w:u w:val="single"/>
            <w:rtl w:val="0"/>
          </w:rPr>
          <w:t xml:space="preserve">https://www.sciencedirect.com/science/article/abs/pii/S0959652607002545</w:t>
        </w:r>
      </w:hyperlink>
      <w:r w:rsidDel="00000000" w:rsidR="00000000" w:rsidRPr="00000000">
        <w:rPr>
          <w:rtl w:val="0"/>
        </w:rPr>
      </w:r>
    </w:p>
    <w:p w:rsidR="00000000" w:rsidDel="00000000" w:rsidP="00000000" w:rsidRDefault="00000000" w:rsidRPr="00000000" w14:paraId="00000164">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[3] Amani, D. (2024). Winning the battle in the mind: Modelling the nexus between university corporate social responsibility and university brand positioning in the higher education sector. </w:t>
      </w:r>
      <w:r w:rsidDel="00000000" w:rsidR="00000000" w:rsidRPr="00000000">
        <w:rPr>
          <w:rFonts w:ascii="Times New Roman" w:cs="Times New Roman" w:eastAsia="Times New Roman" w:hAnsi="Times New Roman"/>
          <w:i w:val="1"/>
          <w:iCs w:val="1"/>
          <w:sz w:val="24"/>
          <w:szCs w:val="24"/>
          <w:rtl w:val="0"/>
        </w:rPr>
        <w:t xml:space="preserve">Cogent Education, 11</w:t>
      </w:r>
      <w:r w:rsidDel="00000000" w:rsidR="00000000" w:rsidRPr="00000000">
        <w:rPr>
          <w:rFonts w:ascii="Times New Roman" w:cs="Times New Roman" w:eastAsia="Times New Roman" w:hAnsi="Times New Roman"/>
          <w:sz w:val="24"/>
          <w:szCs w:val="24"/>
          <w:rtl w:val="0"/>
        </w:rPr>
        <w:t xml:space="preserve">(1).</w:t>
      </w:r>
      <w:hyperlink r:id="rId16">
        <w:r w:rsidDel="00000000" w:rsidR="00000000" w:rsidRPr="00000000">
          <w:rPr>
            <w:rFonts w:ascii="Times New Roman" w:cs="Times New Roman" w:eastAsia="Times New Roman" w:hAnsi="Times New Roman"/>
            <w:sz w:val="24"/>
            <w:szCs w:val="24"/>
            <w:rtl w:val="0"/>
          </w:rPr>
          <w:t xml:space="preserve"> </w:t>
        </w:r>
      </w:hyperlink>
      <w:hyperlink r:id="rId17">
        <w:r w:rsidDel="00000000" w:rsidR="00000000" w:rsidRPr="00000000">
          <w:rPr>
            <w:rFonts w:ascii="Times New Roman" w:cs="Times New Roman" w:eastAsia="Times New Roman" w:hAnsi="Times New Roman"/>
            <w:color w:val="1155cc"/>
            <w:sz w:val="24"/>
            <w:szCs w:val="24"/>
            <w:u w:val="single"/>
            <w:rtl w:val="0"/>
          </w:rPr>
          <w:t xml:space="preserve">https://doi.org/10.1080/2331186X.2024.2356428</w:t>
        </w:r>
      </w:hyperlink>
      <w:r w:rsidDel="00000000" w:rsidR="00000000" w:rsidRPr="00000000">
        <w:rPr>
          <w:rtl w:val="0"/>
        </w:rPr>
      </w:r>
    </w:p>
    <w:p w:rsidR="00000000" w:rsidDel="00000000" w:rsidP="00000000" w:rsidRDefault="00000000" w:rsidRPr="00000000" w14:paraId="00000165">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[4] Atiqah, N. (2019). Tanggung jawab sosial universitas dan tata kelola universitas terhadap citra UIN Syarif Hidayatullah Jakarta. </w:t>
      </w:r>
      <w:r w:rsidDel="00000000" w:rsidR="00000000" w:rsidRPr="00000000">
        <w:rPr>
          <w:rFonts w:ascii="Times New Roman" w:cs="Times New Roman" w:eastAsia="Times New Roman" w:hAnsi="Times New Roman"/>
          <w:i w:val="1"/>
          <w:iCs w:val="1"/>
          <w:sz w:val="24"/>
          <w:szCs w:val="24"/>
          <w:rtl w:val="0"/>
        </w:rPr>
        <w:t xml:space="preserve">Jurnal Ilmu Akuntansi, 12</w:t>
      </w:r>
      <w:r w:rsidDel="00000000" w:rsidR="00000000" w:rsidRPr="00000000">
        <w:rPr>
          <w:rFonts w:ascii="Times New Roman" w:cs="Times New Roman" w:eastAsia="Times New Roman" w:hAnsi="Times New Roman"/>
          <w:sz w:val="24"/>
          <w:szCs w:val="24"/>
          <w:rtl w:val="0"/>
        </w:rPr>
        <w:t xml:space="preserve">(2), 169–178.</w:t>
      </w:r>
      <w:hyperlink r:id="rId18">
        <w:r w:rsidDel="00000000" w:rsidR="00000000" w:rsidRPr="00000000">
          <w:rPr>
            <w:rFonts w:ascii="Times New Roman" w:cs="Times New Roman" w:eastAsia="Times New Roman" w:hAnsi="Times New Roman"/>
            <w:sz w:val="24"/>
            <w:szCs w:val="24"/>
            <w:rtl w:val="0"/>
          </w:rPr>
          <w:t xml:space="preserve"> </w:t>
        </w:r>
      </w:hyperlink>
      <w:hyperlink r:id="rId19">
        <w:r w:rsidDel="00000000" w:rsidR="00000000" w:rsidRPr="00000000">
          <w:rPr>
            <w:rFonts w:ascii="Times New Roman" w:cs="Times New Roman" w:eastAsia="Times New Roman" w:hAnsi="Times New Roman"/>
            <w:color w:val="1155cc"/>
            <w:sz w:val="24"/>
            <w:szCs w:val="24"/>
            <w:u w:val="single"/>
            <w:rtl w:val="0"/>
          </w:rPr>
          <w:t xml:space="preserve">https://doi.org/10.15408/akt.v12i2.12862</w:t>
        </w:r>
      </w:hyperlink>
      <w:r w:rsidDel="00000000" w:rsidR="00000000" w:rsidRPr="00000000">
        <w:rPr>
          <w:rtl w:val="0"/>
        </w:rPr>
      </w:r>
    </w:p>
    <w:p w:rsidR="00000000" w:rsidDel="00000000" w:rsidP="00000000" w:rsidRDefault="00000000" w:rsidRPr="00000000" w14:paraId="00000166">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Bernays, E. L. (1952). </w:t>
      </w:r>
      <w:r w:rsidDel="00000000" w:rsidR="00000000" w:rsidRPr="00000000">
        <w:rPr>
          <w:rFonts w:ascii="Times New Roman" w:cs="Times New Roman" w:eastAsia="Times New Roman" w:hAnsi="Times New Roman"/>
          <w:i w:val="1"/>
          <w:iCs w:val="1"/>
          <w:sz w:val="24"/>
          <w:szCs w:val="24"/>
          <w:rtl w:val="0"/>
        </w:rPr>
        <w:t xml:space="preserve">Public relations</w:t>
      </w:r>
      <w:r w:rsidDel="00000000" w:rsidR="00000000" w:rsidRPr="00000000">
        <w:rPr>
          <w:rFonts w:ascii="Times New Roman" w:cs="Times New Roman" w:eastAsia="Times New Roman" w:hAnsi="Times New Roman"/>
          <w:sz w:val="24"/>
          <w:szCs w:val="24"/>
          <w:rtl w:val="0"/>
        </w:rPr>
        <w:t xml:space="preserve">. University of Oklahoma Press. </w:t>
      </w:r>
      <w:hyperlink r:id="rId20">
        <w:r w:rsidDel="00000000" w:rsidR="00000000" w:rsidRPr="00000000">
          <w:rPr>
            <w:rFonts w:ascii="Times New Roman" w:cs="Times New Roman" w:eastAsia="Times New Roman" w:hAnsi="Times New Roman"/>
            <w:color w:val="1155cc"/>
            <w:sz w:val="24"/>
            <w:szCs w:val="24"/>
            <w:u w:val="single"/>
            <w:rtl w:val="0"/>
          </w:rPr>
          <w:t xml:space="preserve">https://books.google.com.vn/books?hl=vi&amp;id=wBFP_qrOYk8C</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7">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Bland, M., Theaker, A., &amp; Wragg, D. (2005). </w:t>
      </w:r>
      <w:r w:rsidDel="00000000" w:rsidR="00000000" w:rsidRPr="00000000">
        <w:rPr>
          <w:rFonts w:ascii="Times New Roman" w:cs="Times New Roman" w:eastAsia="Times New Roman" w:hAnsi="Times New Roman"/>
          <w:i w:val="1"/>
          <w:iCs w:val="1"/>
          <w:sz w:val="24"/>
          <w:szCs w:val="24"/>
          <w:rtl w:val="0"/>
        </w:rPr>
        <w:t xml:space="preserve">Effective media relations: How to get results</w:t>
      </w:r>
      <w:r w:rsidDel="00000000" w:rsidR="00000000" w:rsidRPr="00000000">
        <w:rPr>
          <w:rFonts w:ascii="Times New Roman" w:cs="Times New Roman" w:eastAsia="Times New Roman" w:hAnsi="Times New Roman"/>
          <w:sz w:val="24"/>
          <w:szCs w:val="24"/>
          <w:rtl w:val="0"/>
        </w:rPr>
        <w:t xml:space="preserve"> (3rd ed.). Kogan Page. </w:t>
      </w:r>
      <w:hyperlink r:id="rId21">
        <w:r w:rsidDel="00000000" w:rsidR="00000000" w:rsidRPr="00000000">
          <w:rPr>
            <w:rFonts w:ascii="Times New Roman" w:cs="Times New Roman" w:eastAsia="Times New Roman" w:hAnsi="Times New Roman"/>
            <w:color w:val="1155cc"/>
            <w:sz w:val="24"/>
            <w:szCs w:val="24"/>
            <w:u w:val="single"/>
            <w:rtl w:val="0"/>
          </w:rPr>
          <w:t xml:space="preserve">https://books.google.com.vn/books?hl=en&amp;id=-4bTy1ONeU8C</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8">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[7] Bowen, H. R. (1953). </w:t>
      </w:r>
      <w:r w:rsidDel="00000000" w:rsidR="00000000" w:rsidRPr="00000000">
        <w:rPr>
          <w:rFonts w:ascii="Times New Roman" w:cs="Times New Roman" w:eastAsia="Times New Roman" w:hAnsi="Times New Roman"/>
          <w:i w:val="1"/>
          <w:iCs w:val="1"/>
          <w:sz w:val="24"/>
          <w:szCs w:val="24"/>
          <w:rtl w:val="0"/>
        </w:rPr>
        <w:t xml:space="preserve">Social responsibilities of the businessman</w:t>
      </w:r>
      <w:r w:rsidDel="00000000" w:rsidR="00000000" w:rsidRPr="00000000">
        <w:rPr>
          <w:rFonts w:ascii="Times New Roman" w:cs="Times New Roman" w:eastAsia="Times New Roman" w:hAnsi="Times New Roman"/>
          <w:sz w:val="24"/>
          <w:szCs w:val="24"/>
          <w:rtl w:val="0"/>
        </w:rPr>
        <w:t xml:space="preserve">. Harper &amp; Row.</w:t>
      </w:r>
      <w:hyperlink r:id="rId22">
        <w:r w:rsidDel="00000000" w:rsidR="00000000" w:rsidRPr="00000000">
          <w:rPr>
            <w:rFonts w:ascii="Times New Roman" w:cs="Times New Roman" w:eastAsia="Times New Roman" w:hAnsi="Times New Roman"/>
            <w:sz w:val="24"/>
            <w:szCs w:val="24"/>
            <w:rtl w:val="0"/>
          </w:rPr>
          <w:t xml:space="preserve"> </w:t>
        </w:r>
      </w:hyperlink>
      <w:hyperlink r:id="rId23">
        <w:r w:rsidDel="00000000" w:rsidR="00000000" w:rsidRPr="00000000">
          <w:rPr>
            <w:rFonts w:ascii="Times New Roman" w:cs="Times New Roman" w:eastAsia="Times New Roman" w:hAnsi="Times New Roman"/>
            <w:color w:val="1155cc"/>
            <w:sz w:val="24"/>
            <w:szCs w:val="24"/>
            <w:u w:val="single"/>
            <w:rtl w:val="0"/>
          </w:rPr>
          <w:t xml:space="preserve">https://accp.org/resources/csr-resources/accp-insights-blog/corporate-social-responsibility-brief-history</w:t>
        </w:r>
      </w:hyperlink>
      <w:r w:rsidDel="00000000" w:rsidR="00000000" w:rsidRPr="00000000">
        <w:rPr>
          <w:rtl w:val="0"/>
        </w:rPr>
      </w:r>
    </w:p>
    <w:p w:rsidR="00000000" w:rsidDel="00000000" w:rsidP="00000000" w:rsidRDefault="00000000" w:rsidRPr="00000000" w14:paraId="00000169">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[8] Carroll, A. B. (1999). Corporate social responsibility: Evolution of a definitional construct. </w:t>
      </w:r>
      <w:r w:rsidDel="00000000" w:rsidR="00000000" w:rsidRPr="00000000">
        <w:rPr>
          <w:rFonts w:ascii="Times New Roman" w:cs="Times New Roman" w:eastAsia="Times New Roman" w:hAnsi="Times New Roman"/>
          <w:i w:val="1"/>
          <w:iCs w:val="1"/>
          <w:sz w:val="24"/>
          <w:szCs w:val="24"/>
          <w:rtl w:val="0"/>
        </w:rPr>
        <w:t xml:space="preserve">Business &amp; Society, 38</w:t>
      </w:r>
      <w:r w:rsidDel="00000000" w:rsidR="00000000" w:rsidRPr="00000000">
        <w:rPr>
          <w:rFonts w:ascii="Times New Roman" w:cs="Times New Roman" w:eastAsia="Times New Roman" w:hAnsi="Times New Roman"/>
          <w:sz w:val="24"/>
          <w:szCs w:val="24"/>
          <w:rtl w:val="0"/>
        </w:rPr>
        <w:t xml:space="preserve">(3), 268–295.</w:t>
      </w:r>
      <w:hyperlink r:id="rId24">
        <w:r w:rsidDel="00000000" w:rsidR="00000000" w:rsidRPr="00000000">
          <w:rPr>
            <w:rFonts w:ascii="Times New Roman" w:cs="Times New Roman" w:eastAsia="Times New Roman" w:hAnsi="Times New Roman"/>
            <w:sz w:val="24"/>
            <w:szCs w:val="24"/>
            <w:rtl w:val="0"/>
          </w:rPr>
          <w:t xml:space="preserve"> </w:t>
        </w:r>
      </w:hyperlink>
      <w:hyperlink r:id="rId25">
        <w:r w:rsidDel="00000000" w:rsidR="00000000" w:rsidRPr="00000000">
          <w:rPr>
            <w:rFonts w:ascii="Times New Roman" w:cs="Times New Roman" w:eastAsia="Times New Roman" w:hAnsi="Times New Roman"/>
            <w:color w:val="1155cc"/>
            <w:sz w:val="24"/>
            <w:szCs w:val="24"/>
            <w:u w:val="single"/>
            <w:rtl w:val="0"/>
          </w:rPr>
          <w:t xml:space="preserve">https://www.researchgate.net/publication/282441223</w:t>
        </w:r>
      </w:hyperlink>
      <w:r w:rsidDel="00000000" w:rsidR="00000000" w:rsidRPr="00000000">
        <w:rPr>
          <w:rtl w:val="0"/>
        </w:rPr>
      </w:r>
    </w:p>
    <w:p w:rsidR="00000000" w:rsidDel="00000000" w:rsidP="00000000" w:rsidRDefault="00000000" w:rsidRPr="00000000" w14:paraId="0000016A">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[9] Ceulemans, K., Lozano, R., &amp; Alonso-Almeida, M. D. M. (2015). Sustainability reporting in higher education: Interconnecting the reporting process and organisational change management for sustainability. </w:t>
      </w:r>
      <w:r w:rsidDel="00000000" w:rsidR="00000000" w:rsidRPr="00000000">
        <w:rPr>
          <w:rFonts w:ascii="Times New Roman" w:cs="Times New Roman" w:eastAsia="Times New Roman" w:hAnsi="Times New Roman"/>
          <w:i w:val="1"/>
          <w:iCs w:val="1"/>
          <w:sz w:val="24"/>
          <w:szCs w:val="24"/>
          <w:rtl w:val="0"/>
        </w:rPr>
        <w:t xml:space="preserve">Sustainability, 7</w:t>
      </w:r>
      <w:r w:rsidDel="00000000" w:rsidR="00000000" w:rsidRPr="00000000">
        <w:rPr>
          <w:rFonts w:ascii="Times New Roman" w:cs="Times New Roman" w:eastAsia="Times New Roman" w:hAnsi="Times New Roman"/>
          <w:sz w:val="24"/>
          <w:szCs w:val="24"/>
          <w:rtl w:val="0"/>
        </w:rPr>
        <w:t xml:space="preserve">(7), 8881–8903.</w:t>
      </w:r>
      <w:hyperlink r:id="rId26">
        <w:r w:rsidDel="00000000" w:rsidR="00000000" w:rsidRPr="00000000">
          <w:rPr>
            <w:rFonts w:ascii="Times New Roman" w:cs="Times New Roman" w:eastAsia="Times New Roman" w:hAnsi="Times New Roman"/>
            <w:sz w:val="24"/>
            <w:szCs w:val="24"/>
            <w:rtl w:val="0"/>
          </w:rPr>
          <w:t xml:space="preserve"> </w:t>
        </w:r>
      </w:hyperlink>
      <w:hyperlink r:id="rId27">
        <w:r w:rsidDel="00000000" w:rsidR="00000000" w:rsidRPr="00000000">
          <w:rPr>
            <w:rFonts w:ascii="Times New Roman" w:cs="Times New Roman" w:eastAsia="Times New Roman" w:hAnsi="Times New Roman"/>
            <w:color w:val="1155cc"/>
            <w:sz w:val="24"/>
            <w:szCs w:val="24"/>
            <w:u w:val="single"/>
            <w:rtl w:val="0"/>
          </w:rPr>
          <w:t xml:space="preserve">https://doi.org/10.3390/su7078881</w:t>
        </w:r>
      </w:hyperlink>
      <w:r w:rsidDel="00000000" w:rsidR="00000000" w:rsidRPr="00000000">
        <w:rPr>
          <w:rtl w:val="0"/>
        </w:rPr>
      </w:r>
    </w:p>
    <w:p w:rsidR="00000000" w:rsidDel="00000000" w:rsidP="00000000" w:rsidRDefault="00000000" w:rsidRPr="00000000" w14:paraId="0000016B">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[10] Chapleo, C. (2015). Brands in higher education: Challenges and potential strategies. </w:t>
      </w:r>
      <w:r w:rsidDel="00000000" w:rsidR="00000000" w:rsidRPr="00000000">
        <w:rPr>
          <w:rFonts w:ascii="Times New Roman" w:cs="Times New Roman" w:eastAsia="Times New Roman" w:hAnsi="Times New Roman"/>
          <w:i w:val="1"/>
          <w:iCs w:val="1"/>
          <w:sz w:val="24"/>
          <w:szCs w:val="24"/>
          <w:rtl w:val="0"/>
        </w:rPr>
        <w:t xml:space="preserve">International Studies of Management &amp; Organization, 45</w:t>
      </w:r>
      <w:r w:rsidDel="00000000" w:rsidR="00000000" w:rsidRPr="00000000">
        <w:rPr>
          <w:rFonts w:ascii="Times New Roman" w:cs="Times New Roman" w:eastAsia="Times New Roman" w:hAnsi="Times New Roman"/>
          <w:sz w:val="24"/>
          <w:szCs w:val="24"/>
          <w:rtl w:val="0"/>
        </w:rPr>
        <w:t xml:space="preserve">(2), 150–163.</w:t>
      </w:r>
      <w:hyperlink r:id="rId28">
        <w:r w:rsidDel="00000000" w:rsidR="00000000" w:rsidRPr="00000000">
          <w:rPr>
            <w:rFonts w:ascii="Times New Roman" w:cs="Times New Roman" w:eastAsia="Times New Roman" w:hAnsi="Times New Roman"/>
            <w:sz w:val="24"/>
            <w:szCs w:val="24"/>
            <w:rtl w:val="0"/>
          </w:rPr>
          <w:t xml:space="preserve"> </w:t>
        </w:r>
      </w:hyperlink>
      <w:hyperlink r:id="rId29">
        <w:r w:rsidDel="00000000" w:rsidR="00000000" w:rsidRPr="00000000">
          <w:rPr>
            <w:rFonts w:ascii="Times New Roman" w:cs="Times New Roman" w:eastAsia="Times New Roman" w:hAnsi="Times New Roman"/>
            <w:color w:val="1155cc"/>
            <w:sz w:val="24"/>
            <w:szCs w:val="24"/>
            <w:u w:val="single"/>
            <w:rtl w:val="0"/>
          </w:rPr>
          <w:t xml:space="preserve">https://doi.org/10.1080/00208825.2015.1006014</w:t>
        </w:r>
      </w:hyperlink>
      <w:r w:rsidDel="00000000" w:rsidR="00000000" w:rsidRPr="00000000">
        <w:rPr>
          <w:rtl w:val="0"/>
        </w:rPr>
      </w:r>
    </w:p>
    <w:p w:rsidR="00000000" w:rsidDel="00000000" w:rsidP="00000000" w:rsidRDefault="00000000" w:rsidRPr="00000000" w14:paraId="0000016C">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Crane, A., Matten, D., &amp; Spence, L. J. (2008). </w:t>
      </w:r>
      <w:r w:rsidDel="00000000" w:rsidR="00000000" w:rsidRPr="00000000">
        <w:rPr>
          <w:rFonts w:ascii="Times New Roman" w:cs="Times New Roman" w:eastAsia="Times New Roman" w:hAnsi="Times New Roman"/>
          <w:i w:val="1"/>
          <w:iCs w:val="1"/>
          <w:sz w:val="24"/>
          <w:szCs w:val="24"/>
          <w:rtl w:val="0"/>
        </w:rPr>
        <w:t xml:space="preserve">Corporate social responsibility: Readings and cases in a global context</w:t>
      </w:r>
      <w:r w:rsidDel="00000000" w:rsidR="00000000" w:rsidRPr="00000000">
        <w:rPr>
          <w:rFonts w:ascii="Times New Roman" w:cs="Times New Roman" w:eastAsia="Times New Roman" w:hAnsi="Times New Roman"/>
          <w:sz w:val="24"/>
          <w:szCs w:val="24"/>
          <w:rtl w:val="0"/>
        </w:rPr>
        <w:t xml:space="preserve">. Routledge.</w:t>
      </w:r>
    </w:p>
    <w:p w:rsidR="00000000" w:rsidDel="00000000" w:rsidP="00000000" w:rsidRDefault="00000000" w:rsidRPr="00000000" w14:paraId="0000016D">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Dowling, Grahame, Creating Corporate Reputations: Identity, Image, and Performance (Oxford, 2000; online edn, Oxford Academic, 31 Oct. 2023), </w:t>
      </w:r>
      <w:hyperlink r:id="rId30">
        <w:r w:rsidDel="00000000" w:rsidR="00000000" w:rsidRPr="00000000">
          <w:rPr>
            <w:rFonts w:ascii="Times New Roman" w:cs="Times New Roman" w:eastAsia="Times New Roman" w:hAnsi="Times New Roman"/>
            <w:color w:val="1155cc"/>
            <w:sz w:val="24"/>
            <w:szCs w:val="24"/>
            <w:u w:val="single"/>
            <w:rtl w:val="0"/>
          </w:rPr>
          <w:t xml:space="preserve">https://doi.org/10.1093/oso/9780199241637.001.0001</w:t>
        </w:r>
      </w:hyperlink>
      <w:r w:rsidDel="00000000" w:rsidR="00000000" w:rsidRPr="00000000">
        <w:rPr>
          <w:rtl w:val="0"/>
        </w:rPr>
      </w:r>
    </w:p>
    <w:p w:rsidR="00000000" w:rsidDel="00000000" w:rsidP="00000000" w:rsidRDefault="00000000" w:rsidRPr="00000000" w14:paraId="0000016E">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Esfijani, A., Hussain, F., &amp; Chang, E. (2013). University social responsibility ontology. </w:t>
      </w:r>
      <w:r w:rsidDel="00000000" w:rsidR="00000000" w:rsidRPr="00000000">
        <w:rPr>
          <w:rFonts w:ascii="Times New Roman" w:cs="Times New Roman" w:eastAsia="Times New Roman" w:hAnsi="Times New Roman"/>
          <w:i w:val="1"/>
          <w:iCs w:val="1"/>
          <w:sz w:val="24"/>
          <w:szCs w:val="24"/>
          <w:rtl w:val="0"/>
        </w:rPr>
        <w:t xml:space="preserve">Engineering Intelligent Systems, 21</w:t>
      </w:r>
      <w:r w:rsidDel="00000000" w:rsidR="00000000" w:rsidRPr="00000000">
        <w:rPr>
          <w:rFonts w:ascii="Times New Roman" w:cs="Times New Roman" w:eastAsia="Times New Roman" w:hAnsi="Times New Roman"/>
          <w:sz w:val="24"/>
          <w:szCs w:val="24"/>
          <w:rtl w:val="0"/>
        </w:rPr>
        <w:t xml:space="preserve">(4), 271–281. </w:t>
      </w:r>
      <w:hyperlink r:id="rId31">
        <w:r w:rsidDel="00000000" w:rsidR="00000000" w:rsidRPr="00000000">
          <w:rPr>
            <w:rFonts w:ascii="Times New Roman" w:cs="Times New Roman" w:eastAsia="Times New Roman" w:hAnsi="Times New Roman"/>
            <w:color w:val="1155cc"/>
            <w:sz w:val="24"/>
            <w:szCs w:val="24"/>
            <w:u w:val="single"/>
            <w:rtl w:val="0"/>
          </w:rPr>
          <w:t xml:space="preserve">https://www.researchgate.net/publication/259388764</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F">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[14] Foreign Trade University. (2021). Trường Đại học Ngoại thương tiên phong trong khởi nghiệp, đổi mới sáng tạo và quốc tế hóa giáo dục đại học.</w:t>
      </w:r>
      <w:hyperlink r:id="rId32">
        <w:r w:rsidDel="00000000" w:rsidR="00000000" w:rsidRPr="00000000">
          <w:rPr>
            <w:rFonts w:ascii="Times New Roman" w:cs="Times New Roman" w:eastAsia="Times New Roman" w:hAnsi="Times New Roman"/>
            <w:sz w:val="24"/>
            <w:szCs w:val="24"/>
            <w:rtl w:val="0"/>
          </w:rPr>
          <w:t xml:space="preserve"> </w:t>
        </w:r>
      </w:hyperlink>
      <w:hyperlink r:id="rId33">
        <w:r w:rsidDel="00000000" w:rsidR="00000000" w:rsidRPr="00000000">
          <w:rPr>
            <w:rFonts w:ascii="Times New Roman" w:cs="Times New Roman" w:eastAsia="Times New Roman" w:hAnsi="Times New Roman"/>
            <w:color w:val="1155cc"/>
            <w:sz w:val="24"/>
            <w:szCs w:val="24"/>
            <w:u w:val="single"/>
            <w:rtl w:val="0"/>
          </w:rPr>
          <w:t xml:space="preserve">https://ftu.edu.vn/chuyên-mục-khác2/78-chuyên-mục-khác/3320</w:t>
        </w:r>
      </w:hyperlink>
      <w:r w:rsidDel="00000000" w:rsidR="00000000" w:rsidRPr="00000000">
        <w:rPr>
          <w:rtl w:val="0"/>
        </w:rPr>
      </w:r>
    </w:p>
    <w:p w:rsidR="00000000" w:rsidDel="00000000" w:rsidP="00000000" w:rsidRDefault="00000000" w:rsidRPr="00000000" w14:paraId="00000170">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Freeman, R. E. (1984). </w:t>
      </w:r>
      <w:r w:rsidDel="00000000" w:rsidR="00000000" w:rsidRPr="00000000">
        <w:rPr>
          <w:rFonts w:ascii="Times New Roman" w:cs="Times New Roman" w:eastAsia="Times New Roman" w:hAnsi="Times New Roman"/>
          <w:i w:val="1"/>
          <w:iCs w:val="1"/>
          <w:sz w:val="24"/>
          <w:szCs w:val="24"/>
          <w:rtl w:val="0"/>
        </w:rPr>
        <w:t xml:space="preserve">Strategic management: A stakeholder approach</w:t>
      </w:r>
      <w:r w:rsidDel="00000000" w:rsidR="00000000" w:rsidRPr="00000000">
        <w:rPr>
          <w:rFonts w:ascii="Times New Roman" w:cs="Times New Roman" w:eastAsia="Times New Roman" w:hAnsi="Times New Roman"/>
          <w:sz w:val="24"/>
          <w:szCs w:val="24"/>
          <w:rtl w:val="0"/>
        </w:rPr>
        <w:t xml:space="preserve">. Pitman.</w:t>
      </w:r>
    </w:p>
    <w:p w:rsidR="00000000" w:rsidDel="00000000" w:rsidP="00000000" w:rsidRDefault="00000000" w:rsidRPr="00000000" w14:paraId="00000171">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[16] Gutiérrez-Villar, B., Alcaide-Pulido, P., &amp; Carbonero-Ruz, M. (2021). Measuring a university’s image: Is reputation an influential factor? </w:t>
      </w:r>
      <w:r w:rsidDel="00000000" w:rsidR="00000000" w:rsidRPr="00000000">
        <w:rPr>
          <w:rFonts w:ascii="Times New Roman" w:cs="Times New Roman" w:eastAsia="Times New Roman" w:hAnsi="Times New Roman"/>
          <w:i w:val="1"/>
          <w:iCs w:val="1"/>
          <w:sz w:val="24"/>
          <w:szCs w:val="24"/>
          <w:rtl w:val="0"/>
        </w:rPr>
        <w:t xml:space="preserve">Education Sciences, 12</w:t>
      </w:r>
      <w:r w:rsidDel="00000000" w:rsidR="00000000" w:rsidRPr="00000000">
        <w:rPr>
          <w:rFonts w:ascii="Times New Roman" w:cs="Times New Roman" w:eastAsia="Times New Roman" w:hAnsi="Times New Roman"/>
          <w:sz w:val="24"/>
          <w:szCs w:val="24"/>
          <w:rtl w:val="0"/>
        </w:rPr>
        <w:t xml:space="preserve">(1), 19.</w:t>
      </w:r>
      <w:hyperlink r:id="rId34">
        <w:r w:rsidDel="00000000" w:rsidR="00000000" w:rsidRPr="00000000">
          <w:rPr>
            <w:rFonts w:ascii="Times New Roman" w:cs="Times New Roman" w:eastAsia="Times New Roman" w:hAnsi="Times New Roman"/>
            <w:sz w:val="24"/>
            <w:szCs w:val="24"/>
            <w:rtl w:val="0"/>
          </w:rPr>
          <w:t xml:space="preserve"> </w:t>
        </w:r>
      </w:hyperlink>
      <w:hyperlink r:id="rId35">
        <w:r w:rsidDel="00000000" w:rsidR="00000000" w:rsidRPr="00000000">
          <w:rPr>
            <w:rFonts w:ascii="Times New Roman" w:cs="Times New Roman" w:eastAsia="Times New Roman" w:hAnsi="Times New Roman"/>
            <w:color w:val="1155cc"/>
            <w:sz w:val="24"/>
            <w:szCs w:val="24"/>
            <w:u w:val="single"/>
            <w:rtl w:val="0"/>
          </w:rPr>
          <w:t xml:space="preserve">https://www.mdpi.com/2227-7102/12/1/19</w:t>
        </w:r>
      </w:hyperlink>
      <w:r w:rsidDel="00000000" w:rsidR="00000000" w:rsidRPr="00000000">
        <w:rPr>
          <w:rtl w:val="0"/>
        </w:rPr>
      </w:r>
    </w:p>
    <w:p w:rsidR="00000000" w:rsidDel="00000000" w:rsidP="00000000" w:rsidRDefault="00000000" w:rsidRPr="00000000" w14:paraId="00000172">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[17] Hemsley-Brown, J., &amp; Oplatka, I. (2006). Universities in a competitive global marketplace. </w:t>
      </w:r>
      <w:r w:rsidDel="00000000" w:rsidR="00000000" w:rsidRPr="00000000">
        <w:rPr>
          <w:rFonts w:ascii="Times New Roman" w:cs="Times New Roman" w:eastAsia="Times New Roman" w:hAnsi="Times New Roman"/>
          <w:i w:val="1"/>
          <w:iCs w:val="1"/>
          <w:sz w:val="24"/>
          <w:szCs w:val="24"/>
          <w:rtl w:val="0"/>
        </w:rPr>
        <w:t xml:space="preserve">International Journal of Public Sector Management, 19</w:t>
      </w:r>
      <w:r w:rsidDel="00000000" w:rsidR="00000000" w:rsidRPr="00000000">
        <w:rPr>
          <w:rFonts w:ascii="Times New Roman" w:cs="Times New Roman" w:eastAsia="Times New Roman" w:hAnsi="Times New Roman"/>
          <w:sz w:val="24"/>
          <w:szCs w:val="24"/>
          <w:rtl w:val="0"/>
        </w:rPr>
        <w:t xml:space="preserve">(4), 316–338.</w:t>
      </w:r>
      <w:hyperlink r:id="rId36">
        <w:r w:rsidDel="00000000" w:rsidR="00000000" w:rsidRPr="00000000">
          <w:rPr>
            <w:rFonts w:ascii="Times New Roman" w:cs="Times New Roman" w:eastAsia="Times New Roman" w:hAnsi="Times New Roman"/>
            <w:sz w:val="24"/>
            <w:szCs w:val="24"/>
            <w:rtl w:val="0"/>
          </w:rPr>
          <w:t xml:space="preserve"> </w:t>
        </w:r>
      </w:hyperlink>
      <w:hyperlink r:id="rId37">
        <w:r w:rsidDel="00000000" w:rsidR="00000000" w:rsidRPr="00000000">
          <w:rPr>
            <w:rFonts w:ascii="Times New Roman" w:cs="Times New Roman" w:eastAsia="Times New Roman" w:hAnsi="Times New Roman"/>
            <w:color w:val="1155cc"/>
            <w:sz w:val="24"/>
            <w:szCs w:val="24"/>
            <w:u w:val="single"/>
            <w:rtl w:val="0"/>
          </w:rPr>
          <w:t xml:space="preserve">https://doi.org/10.1108/09513550610669176</w:t>
        </w:r>
      </w:hyperlink>
      <w:r w:rsidDel="00000000" w:rsidR="00000000" w:rsidRPr="00000000">
        <w:rPr>
          <w:rtl w:val="0"/>
        </w:rPr>
      </w:r>
    </w:p>
    <w:p w:rsidR="00000000" w:rsidDel="00000000" w:rsidP="00000000" w:rsidRDefault="00000000" w:rsidRPr="00000000" w14:paraId="00000173">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[18] Hernandez, M. (2016). Corporate social responsibility and sustainability: An overview. </w:t>
      </w:r>
      <w:r w:rsidDel="00000000" w:rsidR="00000000" w:rsidRPr="00000000">
        <w:rPr>
          <w:rFonts w:ascii="Times New Roman" w:cs="Times New Roman" w:eastAsia="Times New Roman" w:hAnsi="Times New Roman"/>
          <w:i w:val="1"/>
          <w:iCs w:val="1"/>
          <w:sz w:val="24"/>
          <w:szCs w:val="24"/>
          <w:rtl w:val="0"/>
        </w:rPr>
        <w:t xml:space="preserve">Journal of Business Ethics, 138</w:t>
      </w:r>
      <w:r w:rsidDel="00000000" w:rsidR="00000000" w:rsidRPr="00000000">
        <w:rPr>
          <w:rFonts w:ascii="Times New Roman" w:cs="Times New Roman" w:eastAsia="Times New Roman" w:hAnsi="Times New Roman"/>
          <w:sz w:val="24"/>
          <w:szCs w:val="24"/>
          <w:rtl w:val="0"/>
        </w:rPr>
        <w:t xml:space="preserve">(2), 217–234.</w:t>
      </w:r>
      <w:hyperlink r:id="rId38">
        <w:r w:rsidDel="00000000" w:rsidR="00000000" w:rsidRPr="00000000">
          <w:rPr>
            <w:rFonts w:ascii="Times New Roman" w:cs="Times New Roman" w:eastAsia="Times New Roman" w:hAnsi="Times New Roman"/>
            <w:sz w:val="24"/>
            <w:szCs w:val="24"/>
            <w:rtl w:val="0"/>
          </w:rPr>
          <w:t xml:space="preserve"> </w:t>
        </w:r>
      </w:hyperlink>
      <w:hyperlink r:id="rId39">
        <w:r w:rsidDel="00000000" w:rsidR="00000000" w:rsidRPr="00000000">
          <w:rPr>
            <w:rFonts w:ascii="Times New Roman" w:cs="Times New Roman" w:eastAsia="Times New Roman" w:hAnsi="Times New Roman"/>
            <w:color w:val="1155cc"/>
            <w:sz w:val="24"/>
            <w:szCs w:val="24"/>
            <w:u w:val="single"/>
            <w:rtl w:val="0"/>
          </w:rPr>
          <w:t xml:space="preserve">https://doi.org/10.1007/s10551-015-2613-5</w:t>
        </w:r>
      </w:hyperlink>
      <w:r w:rsidDel="00000000" w:rsidR="00000000" w:rsidRPr="00000000">
        <w:rPr>
          <w:rtl w:val="0"/>
        </w:rPr>
      </w:r>
    </w:p>
    <w:p w:rsidR="00000000" w:rsidDel="00000000" w:rsidP="00000000" w:rsidRDefault="00000000" w:rsidRPr="00000000" w14:paraId="00000174">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[19] Kurniawan, A., Suhardiyah, M., &amp; Subakir. (2020). Influence of campus facilities, the implementation of the USR, human resource development to the campus image with media relations as intervening. </w:t>
      </w:r>
      <w:r w:rsidDel="00000000" w:rsidR="00000000" w:rsidRPr="00000000">
        <w:rPr>
          <w:rFonts w:ascii="Times New Roman" w:cs="Times New Roman" w:eastAsia="Times New Roman" w:hAnsi="Times New Roman"/>
          <w:i w:val="1"/>
          <w:iCs w:val="1"/>
          <w:sz w:val="24"/>
          <w:szCs w:val="24"/>
          <w:rtl w:val="0"/>
        </w:rPr>
        <w:t xml:space="preserve">International Journal of Economics, Business and Accounting Research, 4</w:t>
      </w:r>
      <w:r w:rsidDel="00000000" w:rsidR="00000000" w:rsidRPr="00000000">
        <w:rPr>
          <w:rFonts w:ascii="Times New Roman" w:cs="Times New Roman" w:eastAsia="Times New Roman" w:hAnsi="Times New Roman"/>
          <w:sz w:val="24"/>
          <w:szCs w:val="24"/>
          <w:rtl w:val="0"/>
        </w:rPr>
        <w:t xml:space="preserve">(02).</w:t>
      </w:r>
      <w:hyperlink r:id="rId40">
        <w:r w:rsidDel="00000000" w:rsidR="00000000" w:rsidRPr="00000000">
          <w:rPr>
            <w:rFonts w:ascii="Times New Roman" w:cs="Times New Roman" w:eastAsia="Times New Roman" w:hAnsi="Times New Roman"/>
            <w:sz w:val="24"/>
            <w:szCs w:val="24"/>
            <w:rtl w:val="0"/>
          </w:rPr>
          <w:t xml:space="preserve"> </w:t>
        </w:r>
      </w:hyperlink>
      <w:hyperlink r:id="rId41">
        <w:r w:rsidDel="00000000" w:rsidR="00000000" w:rsidRPr="00000000">
          <w:rPr>
            <w:rFonts w:ascii="Times New Roman" w:cs="Times New Roman" w:eastAsia="Times New Roman" w:hAnsi="Times New Roman"/>
            <w:color w:val="1155cc"/>
            <w:sz w:val="24"/>
            <w:szCs w:val="24"/>
            <w:u w:val="single"/>
            <w:rtl w:val="0"/>
          </w:rPr>
          <w:t xml:space="preserve">https://jurnal.stie-aas.ac.id/index.php/IJEBAR/article/view/1044</w:t>
        </w:r>
      </w:hyperlink>
      <w:r w:rsidDel="00000000" w:rsidR="00000000" w:rsidRPr="00000000">
        <w:rPr>
          <w:rtl w:val="0"/>
        </w:rPr>
      </w:r>
    </w:p>
    <w:p w:rsidR="00000000" w:rsidDel="00000000" w:rsidP="00000000" w:rsidRDefault="00000000" w:rsidRPr="00000000" w14:paraId="00000175">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[20] Latif, K. F., Tariq, R., Muneeb, D., Sahibzada, U. F., &amp; Ahmad, S. (2022). University social responsibility and performance: The role of service quality, reputation, student satisfaction and trust. </w:t>
      </w:r>
      <w:r w:rsidDel="00000000" w:rsidR="00000000" w:rsidRPr="00000000">
        <w:rPr>
          <w:rFonts w:ascii="Times New Roman" w:cs="Times New Roman" w:eastAsia="Times New Roman" w:hAnsi="Times New Roman"/>
          <w:i w:val="1"/>
          <w:iCs w:val="1"/>
          <w:sz w:val="24"/>
          <w:szCs w:val="24"/>
          <w:rtl w:val="0"/>
        </w:rPr>
        <w:t xml:space="preserve">Journal of Marketing for Higher Education, 34</w:t>
      </w:r>
      <w:r w:rsidDel="00000000" w:rsidR="00000000" w:rsidRPr="00000000">
        <w:rPr>
          <w:rFonts w:ascii="Times New Roman" w:cs="Times New Roman" w:eastAsia="Times New Roman" w:hAnsi="Times New Roman"/>
          <w:sz w:val="24"/>
          <w:szCs w:val="24"/>
          <w:rtl w:val="0"/>
        </w:rPr>
        <w:t xml:space="preserve">(2), 967–991.</w:t>
      </w:r>
      <w:hyperlink r:id="rId42">
        <w:r w:rsidDel="00000000" w:rsidR="00000000" w:rsidRPr="00000000">
          <w:rPr>
            <w:rFonts w:ascii="Times New Roman" w:cs="Times New Roman" w:eastAsia="Times New Roman" w:hAnsi="Times New Roman"/>
            <w:sz w:val="24"/>
            <w:szCs w:val="24"/>
            <w:rtl w:val="0"/>
          </w:rPr>
          <w:t xml:space="preserve"> </w:t>
        </w:r>
      </w:hyperlink>
      <w:hyperlink r:id="rId43">
        <w:r w:rsidDel="00000000" w:rsidR="00000000" w:rsidRPr="00000000">
          <w:rPr>
            <w:rFonts w:ascii="Times New Roman" w:cs="Times New Roman" w:eastAsia="Times New Roman" w:hAnsi="Times New Roman"/>
            <w:color w:val="1155cc"/>
            <w:sz w:val="24"/>
            <w:szCs w:val="24"/>
            <w:u w:val="single"/>
            <w:rtl w:val="0"/>
          </w:rPr>
          <w:t xml:space="preserve">https://doi.org/10.1080/08841241.2022.2139791</w:t>
        </w:r>
      </w:hyperlink>
      <w:r w:rsidDel="00000000" w:rsidR="00000000" w:rsidRPr="00000000">
        <w:rPr>
          <w:rtl w:val="0"/>
        </w:rPr>
      </w:r>
    </w:p>
    <w:p w:rsidR="00000000" w:rsidDel="00000000" w:rsidP="00000000" w:rsidRDefault="00000000" w:rsidRPr="00000000" w14:paraId="00000176">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[21] Mutwiri, S. G., Kubaison, D. S. T., &amp; Lyria, D. R. (2022). Effect of strategic CSR communication on the brand image of selected public universities in Kenya. </w:t>
      </w:r>
      <w:r w:rsidDel="00000000" w:rsidR="00000000" w:rsidRPr="00000000">
        <w:rPr>
          <w:rFonts w:ascii="Times New Roman" w:cs="Times New Roman" w:eastAsia="Times New Roman" w:hAnsi="Times New Roman"/>
          <w:i w:val="1"/>
          <w:iCs w:val="1"/>
          <w:sz w:val="24"/>
          <w:szCs w:val="24"/>
          <w:rtl w:val="0"/>
        </w:rPr>
        <w:t xml:space="preserve">Journal of Strategic Management, 2</w:t>
      </w:r>
      <w:r w:rsidDel="00000000" w:rsidR="00000000" w:rsidRPr="00000000">
        <w:rPr>
          <w:rFonts w:ascii="Times New Roman" w:cs="Times New Roman" w:eastAsia="Times New Roman" w:hAnsi="Times New Roman"/>
          <w:sz w:val="24"/>
          <w:szCs w:val="24"/>
          <w:rtl w:val="0"/>
        </w:rPr>
        <w:t xml:space="preserve">(3), 19–31.</w:t>
      </w:r>
      <w:hyperlink r:id="rId44">
        <w:r w:rsidDel="00000000" w:rsidR="00000000" w:rsidRPr="00000000">
          <w:rPr>
            <w:rFonts w:ascii="Times New Roman" w:cs="Times New Roman" w:eastAsia="Times New Roman" w:hAnsi="Times New Roman"/>
            <w:sz w:val="24"/>
            <w:szCs w:val="24"/>
            <w:rtl w:val="0"/>
          </w:rPr>
          <w:t xml:space="preserve"> </w:t>
        </w:r>
      </w:hyperlink>
      <w:hyperlink r:id="rId45">
        <w:r w:rsidDel="00000000" w:rsidR="00000000" w:rsidRPr="00000000">
          <w:rPr>
            <w:rFonts w:ascii="Times New Roman" w:cs="Times New Roman" w:eastAsia="Times New Roman" w:hAnsi="Times New Roman"/>
            <w:color w:val="1155cc"/>
            <w:sz w:val="24"/>
            <w:szCs w:val="24"/>
            <w:u w:val="single"/>
            <w:rtl w:val="0"/>
          </w:rPr>
          <w:t xml:space="preserve">https://doi.org/10.70619/vol2iss3pp19-31</w:t>
        </w:r>
      </w:hyperlink>
      <w:r w:rsidDel="00000000" w:rsidR="00000000" w:rsidRPr="00000000">
        <w:rPr>
          <w:rtl w:val="0"/>
        </w:rPr>
      </w:r>
    </w:p>
    <w:p w:rsidR="00000000" w:rsidDel="00000000" w:rsidP="00000000" w:rsidRDefault="00000000" w:rsidRPr="00000000" w14:paraId="00000177">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[22] Parmar, B. L., Freeman, R. E., Harrison, J. S., Wicks, A. C., Purnell, L., &amp; de Colle, S. (2010). Stakeholder theory: The state of the art. </w:t>
      </w:r>
      <w:r w:rsidDel="00000000" w:rsidR="00000000" w:rsidRPr="00000000">
        <w:rPr>
          <w:rFonts w:ascii="Times New Roman" w:cs="Times New Roman" w:eastAsia="Times New Roman" w:hAnsi="Times New Roman"/>
          <w:i w:val="1"/>
          <w:iCs w:val="1"/>
          <w:sz w:val="24"/>
          <w:szCs w:val="24"/>
          <w:rtl w:val="0"/>
        </w:rPr>
        <w:t xml:space="preserve">Academy of Management Annals, 4</w:t>
      </w:r>
      <w:r w:rsidDel="00000000" w:rsidR="00000000" w:rsidRPr="00000000">
        <w:rPr>
          <w:rFonts w:ascii="Times New Roman" w:cs="Times New Roman" w:eastAsia="Times New Roman" w:hAnsi="Times New Roman"/>
          <w:sz w:val="24"/>
          <w:szCs w:val="24"/>
          <w:rtl w:val="0"/>
        </w:rPr>
        <w:t xml:space="preserve">(1), 403–445.</w:t>
      </w:r>
      <w:hyperlink r:id="rId46">
        <w:r w:rsidDel="00000000" w:rsidR="00000000" w:rsidRPr="00000000">
          <w:rPr>
            <w:rFonts w:ascii="Times New Roman" w:cs="Times New Roman" w:eastAsia="Times New Roman" w:hAnsi="Times New Roman"/>
            <w:sz w:val="24"/>
            <w:szCs w:val="24"/>
            <w:rtl w:val="0"/>
          </w:rPr>
          <w:t xml:space="preserve"> </w:t>
        </w:r>
      </w:hyperlink>
      <w:hyperlink r:id="rId47">
        <w:r w:rsidDel="00000000" w:rsidR="00000000" w:rsidRPr="00000000">
          <w:rPr>
            <w:rFonts w:ascii="Times New Roman" w:cs="Times New Roman" w:eastAsia="Times New Roman" w:hAnsi="Times New Roman"/>
            <w:color w:val="1155cc"/>
            <w:sz w:val="24"/>
            <w:szCs w:val="24"/>
            <w:u w:val="single"/>
            <w:rtl w:val="0"/>
          </w:rPr>
          <w:t xml:space="preserve">https://doi.org/10.5465/19416520.2010.495581</w:t>
        </w:r>
      </w:hyperlink>
      <w:r w:rsidDel="00000000" w:rsidR="00000000" w:rsidRPr="00000000">
        <w:rPr>
          <w:rtl w:val="0"/>
        </w:rPr>
      </w:r>
    </w:p>
    <w:p w:rsidR="00000000" w:rsidDel="00000000" w:rsidP="00000000" w:rsidRDefault="00000000" w:rsidRPr="00000000" w14:paraId="00000178">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[23] Sawasdikosol, S., &amp; Moral, P. (2009). Driving universities’ collaboration toward the new era of sustainable social responsibility. In </w:t>
      </w:r>
      <w:r w:rsidDel="00000000" w:rsidR="00000000" w:rsidRPr="00000000">
        <w:rPr>
          <w:rFonts w:ascii="Times New Roman" w:cs="Times New Roman" w:eastAsia="Times New Roman" w:hAnsi="Times New Roman"/>
          <w:i w:val="1"/>
          <w:iCs w:val="1"/>
          <w:sz w:val="24"/>
          <w:szCs w:val="24"/>
          <w:rtl w:val="0"/>
        </w:rPr>
        <w:t xml:space="preserve">University-Community Engagement Conference</w:t>
      </w:r>
      <w:r w:rsidDel="00000000" w:rsidR="00000000" w:rsidRPr="00000000">
        <w:rPr>
          <w:rFonts w:ascii="Times New Roman" w:cs="Times New Roman" w:eastAsia="Times New Roman" w:hAnsi="Times New Roman"/>
          <w:sz w:val="24"/>
          <w:szCs w:val="24"/>
          <w:rtl w:val="0"/>
        </w:rPr>
        <w:t xml:space="preserve"> (pp. 1–17).</w:t>
      </w:r>
      <w:hyperlink r:id="rId48">
        <w:r w:rsidDel="00000000" w:rsidR="00000000" w:rsidRPr="00000000">
          <w:rPr>
            <w:rFonts w:ascii="Times New Roman" w:cs="Times New Roman" w:eastAsia="Times New Roman" w:hAnsi="Times New Roman"/>
            <w:sz w:val="24"/>
            <w:szCs w:val="24"/>
            <w:rtl w:val="0"/>
          </w:rPr>
          <w:t xml:space="preserve"> </w:t>
        </w:r>
      </w:hyperlink>
      <w:hyperlink r:id="rId49">
        <w:r w:rsidDel="00000000" w:rsidR="00000000" w:rsidRPr="00000000">
          <w:rPr>
            <w:rFonts w:ascii="Times New Roman" w:cs="Times New Roman" w:eastAsia="Times New Roman" w:hAnsi="Times New Roman"/>
            <w:color w:val="1155cc"/>
            <w:sz w:val="24"/>
            <w:szCs w:val="24"/>
            <w:u w:val="single"/>
            <w:rtl w:val="0"/>
          </w:rPr>
          <w:t xml:space="preserve">http://globalusrnetwork.org/resources/Driving_Universities.pdf</w:t>
        </w:r>
      </w:hyperlink>
      <w:r w:rsidDel="00000000" w:rsidR="00000000" w:rsidRPr="00000000">
        <w:rPr>
          <w:rtl w:val="0"/>
        </w:rPr>
      </w:r>
    </w:p>
    <w:p w:rsidR="00000000" w:rsidDel="00000000" w:rsidP="00000000" w:rsidRDefault="00000000" w:rsidRPr="00000000" w14:paraId="00000179">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[24] Suhardiyah, M., Subakir, &amp; Kurniawan, A. (n.d.). The influence of university social responsibility (USR) program implementation and internal public response to campus image through media relations as intervening variable.</w:t>
      </w:r>
      <w:hyperlink r:id="rId50">
        <w:r w:rsidDel="00000000" w:rsidR="00000000" w:rsidRPr="00000000">
          <w:rPr>
            <w:rFonts w:ascii="Times New Roman" w:cs="Times New Roman" w:eastAsia="Times New Roman" w:hAnsi="Times New Roman"/>
            <w:sz w:val="24"/>
            <w:szCs w:val="24"/>
            <w:rtl w:val="0"/>
          </w:rPr>
          <w:t xml:space="preserve"> </w:t>
        </w:r>
      </w:hyperlink>
      <w:hyperlink r:id="rId51">
        <w:r w:rsidDel="00000000" w:rsidR="00000000" w:rsidRPr="00000000">
          <w:rPr>
            <w:rFonts w:ascii="Times New Roman" w:cs="Times New Roman" w:eastAsia="Times New Roman" w:hAnsi="Times New Roman"/>
            <w:color w:val="1155cc"/>
            <w:sz w:val="24"/>
            <w:szCs w:val="24"/>
            <w:u w:val="single"/>
            <w:rtl w:val="0"/>
          </w:rPr>
          <w:t xml:space="preserve">https://icoen.org/wp-content/uploads/conference_doc/icoen5/book1/ICOEN5-2018-p228.pdf</w:t>
        </w:r>
      </w:hyperlink>
      <w:r w:rsidDel="00000000" w:rsidR="00000000" w:rsidRPr="00000000">
        <w:rPr>
          <w:rtl w:val="0"/>
        </w:rPr>
      </w:r>
    </w:p>
    <w:p w:rsidR="00000000" w:rsidDel="00000000" w:rsidP="00000000" w:rsidRDefault="00000000" w:rsidRPr="00000000" w14:paraId="0000017A">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[25] Tran, M. T., &amp; Lam, D. X. H. (2025). Corporate social responsibility in private universities: Empirical evidence in Vietnam. </w:t>
      </w:r>
      <w:r w:rsidDel="00000000" w:rsidR="00000000" w:rsidRPr="00000000">
        <w:rPr>
          <w:rFonts w:ascii="Times New Roman" w:cs="Times New Roman" w:eastAsia="Times New Roman" w:hAnsi="Times New Roman"/>
          <w:i w:val="1"/>
          <w:iCs w:val="1"/>
          <w:sz w:val="24"/>
          <w:szCs w:val="24"/>
          <w:rtl w:val="0"/>
        </w:rPr>
        <w:t xml:space="preserve">Ho Chi Minh City University of Economics and Finance</w:t>
      </w:r>
      <w:r w:rsidDel="00000000" w:rsidR="00000000" w:rsidRPr="00000000">
        <w:rPr>
          <w:rFonts w:ascii="Times New Roman" w:cs="Times New Roman" w:eastAsia="Times New Roman" w:hAnsi="Times New Roman"/>
          <w:sz w:val="24"/>
          <w:szCs w:val="24"/>
          <w:rtl w:val="0"/>
        </w:rPr>
        <w:t xml:space="preserve">.</w:t>
      </w:r>
      <w:hyperlink r:id="rId52">
        <w:r w:rsidDel="00000000" w:rsidR="00000000" w:rsidRPr="00000000">
          <w:rPr>
            <w:rFonts w:ascii="Times New Roman" w:cs="Times New Roman" w:eastAsia="Times New Roman" w:hAnsi="Times New Roman"/>
            <w:sz w:val="24"/>
            <w:szCs w:val="24"/>
            <w:rtl w:val="0"/>
          </w:rPr>
          <w:t xml:space="preserve"> </w:t>
        </w:r>
      </w:hyperlink>
      <w:hyperlink r:id="rId53">
        <w:r w:rsidDel="00000000" w:rsidR="00000000" w:rsidRPr="00000000">
          <w:rPr>
            <w:rFonts w:ascii="Times New Roman" w:cs="Times New Roman" w:eastAsia="Times New Roman" w:hAnsi="Times New Roman"/>
            <w:color w:val="1155cc"/>
            <w:sz w:val="24"/>
            <w:szCs w:val="24"/>
            <w:u w:val="single"/>
            <w:rtl w:val="0"/>
          </w:rPr>
          <w:t xml:space="preserve">https://jfm.edu.vn/index.php/jfme/article/view/889/579</w:t>
        </w:r>
      </w:hyperlink>
      <w:r w:rsidDel="00000000" w:rsidR="00000000" w:rsidRPr="00000000">
        <w:rPr>
          <w:rtl w:val="0"/>
        </w:rPr>
      </w:r>
    </w:p>
    <w:p w:rsidR="00000000" w:rsidDel="00000000" w:rsidP="00000000" w:rsidRDefault="00000000" w:rsidRPr="00000000" w14:paraId="0000017B">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[26] Vallaeys, F. (2014). University social responsibility: A mature and responsible definition. In </w:t>
      </w:r>
      <w:r w:rsidDel="00000000" w:rsidR="00000000" w:rsidRPr="00000000">
        <w:rPr>
          <w:rFonts w:ascii="Times New Roman" w:cs="Times New Roman" w:eastAsia="Times New Roman" w:hAnsi="Times New Roman"/>
          <w:i w:val="1"/>
          <w:iCs w:val="1"/>
          <w:sz w:val="24"/>
          <w:szCs w:val="24"/>
          <w:rtl w:val="0"/>
        </w:rPr>
        <w:t xml:space="preserve">Higher Education in the World 5</w:t>
      </w:r>
      <w:r w:rsidDel="00000000" w:rsidR="00000000" w:rsidRPr="00000000">
        <w:rPr>
          <w:rFonts w:ascii="Times New Roman" w:cs="Times New Roman" w:eastAsia="Times New Roman" w:hAnsi="Times New Roman"/>
          <w:sz w:val="24"/>
          <w:szCs w:val="24"/>
          <w:rtl w:val="0"/>
        </w:rPr>
        <w:t xml:space="preserve"> (pp. 88–96). Global University Network for Innovation.</w:t>
      </w:r>
      <w:hyperlink r:id="rId54">
        <w:r w:rsidDel="00000000" w:rsidR="00000000" w:rsidRPr="00000000">
          <w:rPr>
            <w:rFonts w:ascii="Times New Roman" w:cs="Times New Roman" w:eastAsia="Times New Roman" w:hAnsi="Times New Roman"/>
            <w:sz w:val="24"/>
            <w:szCs w:val="24"/>
            <w:rtl w:val="0"/>
          </w:rPr>
          <w:t xml:space="preserve"> </w:t>
        </w:r>
      </w:hyperlink>
      <w:hyperlink r:id="rId55">
        <w:r w:rsidDel="00000000" w:rsidR="00000000" w:rsidRPr="00000000">
          <w:rPr>
            <w:rFonts w:ascii="Times New Roman" w:cs="Times New Roman" w:eastAsia="Times New Roman" w:hAnsi="Times New Roman"/>
            <w:color w:val="1155cc"/>
            <w:sz w:val="24"/>
            <w:szCs w:val="24"/>
            <w:u w:val="single"/>
            <w:rtl w:val="0"/>
          </w:rPr>
          <w:t xml:space="preserve">https://doi.org/10.13140/2.1.2121.1523</w:t>
        </w:r>
      </w:hyperlink>
      <w:r w:rsidDel="00000000" w:rsidR="00000000" w:rsidRPr="00000000">
        <w:rPr>
          <w:rtl w:val="0"/>
        </w:rPr>
      </w:r>
    </w:p>
    <w:p w:rsidR="00000000" w:rsidDel="00000000" w:rsidP="00000000" w:rsidRDefault="00000000" w:rsidRPr="00000000" w14:paraId="0000017C">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[27] Vázquez, J. L., Lanero, A., &amp; Licandro, O. (2015). Corporate social responsibility and higher education: Students’ perceptions and outcomes. </w:t>
      </w:r>
      <w:r w:rsidDel="00000000" w:rsidR="00000000" w:rsidRPr="00000000">
        <w:rPr>
          <w:rFonts w:ascii="Times New Roman" w:cs="Times New Roman" w:eastAsia="Times New Roman" w:hAnsi="Times New Roman"/>
          <w:i w:val="1"/>
          <w:iCs w:val="1"/>
          <w:sz w:val="24"/>
          <w:szCs w:val="24"/>
          <w:rtl w:val="0"/>
        </w:rPr>
        <w:t xml:space="preserve">Journal of Business Ethics, 130</w:t>
      </w:r>
      <w:r w:rsidDel="00000000" w:rsidR="00000000" w:rsidRPr="00000000">
        <w:rPr>
          <w:rFonts w:ascii="Times New Roman" w:cs="Times New Roman" w:eastAsia="Times New Roman" w:hAnsi="Times New Roman"/>
          <w:sz w:val="24"/>
          <w:szCs w:val="24"/>
          <w:rtl w:val="0"/>
        </w:rPr>
        <w:t xml:space="preserve">(3), 701–720.</w:t>
      </w:r>
      <w:hyperlink r:id="rId56">
        <w:r w:rsidDel="00000000" w:rsidR="00000000" w:rsidRPr="00000000">
          <w:rPr>
            <w:rFonts w:ascii="Times New Roman" w:cs="Times New Roman" w:eastAsia="Times New Roman" w:hAnsi="Times New Roman"/>
            <w:sz w:val="24"/>
            <w:szCs w:val="24"/>
            <w:rtl w:val="0"/>
          </w:rPr>
          <w:t xml:space="preserve"> </w:t>
        </w:r>
      </w:hyperlink>
      <w:hyperlink r:id="rId57">
        <w:r w:rsidDel="00000000" w:rsidR="00000000" w:rsidRPr="00000000">
          <w:rPr>
            <w:rFonts w:ascii="Times New Roman" w:cs="Times New Roman" w:eastAsia="Times New Roman" w:hAnsi="Times New Roman"/>
            <w:color w:val="1155cc"/>
            <w:sz w:val="24"/>
            <w:szCs w:val="24"/>
            <w:u w:val="single"/>
            <w:rtl w:val="0"/>
          </w:rPr>
          <w:t xml:space="preserve">https://doi.org/10.1007/s10551-014-2258-4</w:t>
        </w:r>
      </w:hyperlink>
      <w:r w:rsidDel="00000000" w:rsidR="00000000" w:rsidRPr="00000000">
        <w:rPr>
          <w:rtl w:val="0"/>
        </w:rPr>
      </w:r>
    </w:p>
    <w:p w:rsidR="00000000" w:rsidDel="00000000" w:rsidP="00000000" w:rsidRDefault="00000000" w:rsidRPr="00000000" w14:paraId="0000017D">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[28] Widiyanti, D., Sunardi, &amp; Ningsih, S. (2023). University social responsibility and institutional image: Evidence from higher education institutions. </w:t>
      </w:r>
      <w:r w:rsidDel="00000000" w:rsidR="00000000" w:rsidRPr="00000000">
        <w:rPr>
          <w:rFonts w:ascii="Times New Roman" w:cs="Times New Roman" w:eastAsia="Times New Roman" w:hAnsi="Times New Roman"/>
          <w:i w:val="1"/>
          <w:iCs w:val="1"/>
          <w:sz w:val="24"/>
          <w:szCs w:val="24"/>
          <w:rtl w:val="0"/>
        </w:rPr>
        <w:t xml:space="preserve">International Journal of Educational Management, 37</w:t>
      </w:r>
      <w:r w:rsidDel="00000000" w:rsidR="00000000" w:rsidRPr="00000000">
        <w:rPr>
          <w:rFonts w:ascii="Times New Roman" w:cs="Times New Roman" w:eastAsia="Times New Roman" w:hAnsi="Times New Roman"/>
          <w:sz w:val="24"/>
          <w:szCs w:val="24"/>
          <w:rtl w:val="0"/>
        </w:rPr>
        <w:t xml:space="preserve">(4), 812–827.</w:t>
      </w:r>
      <w:hyperlink r:id="rId58">
        <w:r w:rsidDel="00000000" w:rsidR="00000000" w:rsidRPr="00000000">
          <w:rPr>
            <w:rFonts w:ascii="Times New Roman" w:cs="Times New Roman" w:eastAsia="Times New Roman" w:hAnsi="Times New Roman"/>
            <w:sz w:val="24"/>
            <w:szCs w:val="24"/>
            <w:rtl w:val="0"/>
          </w:rPr>
          <w:t xml:space="preserve"> </w:t>
        </w:r>
      </w:hyperlink>
      <w:hyperlink r:id="rId59">
        <w:r w:rsidDel="00000000" w:rsidR="00000000" w:rsidRPr="00000000">
          <w:rPr>
            <w:rFonts w:ascii="Times New Roman" w:cs="Times New Roman" w:eastAsia="Times New Roman" w:hAnsi="Times New Roman"/>
            <w:color w:val="1155cc"/>
            <w:sz w:val="24"/>
            <w:szCs w:val="24"/>
            <w:u w:val="single"/>
            <w:rtl w:val="0"/>
          </w:rPr>
          <w:t xml:space="preserve">https://doi.org/10.1108/IJEM-01-2022-0034</w:t>
        </w:r>
      </w:hyperlink>
      <w:r w:rsidDel="00000000" w:rsidR="00000000" w:rsidRPr="00000000">
        <w:rPr>
          <w:rtl w:val="0"/>
        </w:rPr>
      </w:r>
    </w:p>
    <w:p w:rsidR="00000000" w:rsidDel="00000000" w:rsidP="00000000" w:rsidRDefault="00000000" w:rsidRPr="00000000" w14:paraId="0000017E">
      <w:pPr>
        <w:spacing w:after="120" w:line="288"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[29] Widiyanti, P., Khair, U., &amp; Zufiyardi. (2023). Penerapan green accounting berbasis university social responsibility (USR) pada Universitas Muhammadiyah Bengkulu. </w:t>
      </w:r>
      <w:r w:rsidDel="00000000" w:rsidR="00000000" w:rsidRPr="00000000">
        <w:rPr>
          <w:rFonts w:ascii="Times New Roman" w:cs="Times New Roman" w:eastAsia="Times New Roman" w:hAnsi="Times New Roman"/>
          <w:i w:val="1"/>
          <w:iCs w:val="1"/>
          <w:sz w:val="24"/>
          <w:szCs w:val="24"/>
          <w:rtl w:val="0"/>
        </w:rPr>
        <w:t xml:space="preserve">Jurnal Akuntansi Keuangan dan Teknologi Informasi Akuntansi, 4</w:t>
      </w:r>
      <w:r w:rsidDel="00000000" w:rsidR="00000000" w:rsidRPr="00000000">
        <w:rPr>
          <w:rFonts w:ascii="Times New Roman" w:cs="Times New Roman" w:eastAsia="Times New Roman" w:hAnsi="Times New Roman"/>
          <w:sz w:val="24"/>
          <w:szCs w:val="24"/>
          <w:rtl w:val="0"/>
        </w:rPr>
        <w:t xml:space="preserve">(1), 72–83.</w:t>
      </w:r>
      <w:hyperlink r:id="rId60">
        <w:r w:rsidDel="00000000" w:rsidR="00000000" w:rsidRPr="00000000">
          <w:rPr>
            <w:rFonts w:ascii="Times New Roman" w:cs="Times New Roman" w:eastAsia="Times New Roman" w:hAnsi="Times New Roman"/>
            <w:sz w:val="24"/>
            <w:szCs w:val="24"/>
            <w:rtl w:val="0"/>
          </w:rPr>
          <w:t xml:space="preserve"> </w:t>
        </w:r>
      </w:hyperlink>
      <w:hyperlink r:id="rId61">
        <w:r w:rsidDel="00000000" w:rsidR="00000000" w:rsidRPr="00000000">
          <w:rPr>
            <w:rFonts w:ascii="Times New Roman" w:cs="Times New Roman" w:eastAsia="Times New Roman" w:hAnsi="Times New Roman"/>
            <w:color w:val="1155cc"/>
            <w:sz w:val="24"/>
            <w:szCs w:val="24"/>
            <w:u w:val="single"/>
            <w:rtl w:val="0"/>
          </w:rPr>
          <w:t xml:space="preserve">https://doi.org/10.36085/jakta.v4i1.5376</w:t>
        </w:r>
      </w:hyperlink>
      <w:r w:rsidDel="00000000" w:rsidR="00000000" w:rsidRPr="00000000">
        <w:rPr>
          <w:rtl w:val="0"/>
        </w:rPr>
      </w:r>
    </w:p>
    <w:p w:rsidR="00000000" w:rsidDel="00000000" w:rsidP="00000000" w:rsidRDefault="00000000" w:rsidRPr="00000000" w14:paraId="0000017F">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Woodward-Clyde Consultants. (1999). Corporate social responsibility and environmental management. </w:t>
      </w:r>
      <w:r w:rsidDel="00000000" w:rsidR="00000000" w:rsidRPr="00000000">
        <w:rPr>
          <w:rFonts w:ascii="Times New Roman" w:cs="Times New Roman" w:eastAsia="Times New Roman" w:hAnsi="Times New Roman"/>
          <w:i w:val="1"/>
          <w:iCs w:val="1"/>
          <w:sz w:val="24"/>
          <w:szCs w:val="24"/>
          <w:rtl w:val="0"/>
        </w:rPr>
        <w:t xml:space="preserve">Environmental Management Journal, 23</w:t>
      </w:r>
      <w:r w:rsidDel="00000000" w:rsidR="00000000" w:rsidRPr="00000000">
        <w:rPr>
          <w:rFonts w:ascii="Times New Roman" w:cs="Times New Roman" w:eastAsia="Times New Roman" w:hAnsi="Times New Roman"/>
          <w:sz w:val="24"/>
          <w:szCs w:val="24"/>
          <w:rtl w:val="0"/>
        </w:rPr>
        <w:t xml:space="preserve">(2), 123–135.</w:t>
      </w:r>
    </w:p>
    <w:p w:rsidR="00000000" w:rsidDel="00000000" w:rsidP="00000000" w:rsidRDefault="00000000" w:rsidRPr="00000000" w14:paraId="00000180">
      <w:pPr>
        <w:spacing w:after="1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Yee, A., Yee, C. P., Hoong, L. P., &amp; Seng, T. (2017). A study on the effect of local student satisfaction, institutional image and student commitment towards student loyalty in private universities of Malaysia.</w:t>
      </w:r>
    </w:p>
    <w:sectPr>
      <w:footerReference r:id="rId6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Cardo">
    <w:embedRegular w:fontKey="{00000000-0000-0000-0000-000000000000}" r:id="rId1" w:subsetted="0"/>
    <w:embedBold w:fontKey="{00000000-0000-0000-0000-000000000000}" r:id="rId2" w:subsetted="0"/>
    <w:embedItalic w:fontKey="{00000000-0000-0000-0000-000000000000}" r:id="rId3" w:subsetted="0"/>
  </w:font>
  <w:font w:name="Cambria Math">
    <w:embedRegular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FTU Working Paper Series, Vol.</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No.</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(01/2025)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81">
      <w:pPr>
        <w:spacing w:before="20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Tác giả liên hệ, Email: k63.2412155307@ftu.edu.vn</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120" w:lineRule="auto"/>
    </w:pPr>
    <w:rPr>
      <w:rFonts w:ascii="Times New Roman" w:cs="Times New Roman" w:eastAsia="Times New Roman" w:hAnsi="Times New Roman"/>
      <w:b w:val="1"/>
      <w:bCs w:val="1"/>
      <w:sz w:val="24"/>
      <w:szCs w:val="24"/>
    </w:rPr>
  </w:style>
  <w:style w:type="paragraph" w:styleId="Heading2">
    <w:name w:val="heading 2"/>
    <w:basedOn w:val="Normal"/>
    <w:next w:val="Normal"/>
    <w:pPr>
      <w:keepNext w:val="1"/>
      <w:keepLines w:val="1"/>
      <w:spacing w:after="288" w:line="288" w:lineRule="auto"/>
    </w:pPr>
    <w:rPr>
      <w:rFonts w:ascii="Times New Roman" w:cs="Times New Roman" w:eastAsia="Times New Roman" w:hAnsi="Times New Roman"/>
      <w:b w:val="1"/>
      <w:bCs w:val="1"/>
      <w:i w:val="1"/>
      <w:iCs w:val="1"/>
      <w:sz w:val="24"/>
      <w:szCs w:val="24"/>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jurnal.stie-aas.ac.id/index.php/IJEBAR/article/view/1044" TargetMode="External"/><Relationship Id="rId42" Type="http://schemas.openxmlformats.org/officeDocument/2006/relationships/hyperlink" Target="https://doi.org/10.1080/08841241.2022.2139791" TargetMode="External"/><Relationship Id="rId41" Type="http://schemas.openxmlformats.org/officeDocument/2006/relationships/hyperlink" Target="https://jurnal.stie-aas.ac.id/index.php/IJEBAR/article/view/1044" TargetMode="External"/><Relationship Id="rId44" Type="http://schemas.openxmlformats.org/officeDocument/2006/relationships/hyperlink" Target="https://doi.org/10.70619/vol2iss3pp19-31" TargetMode="External"/><Relationship Id="rId43" Type="http://schemas.openxmlformats.org/officeDocument/2006/relationships/hyperlink" Target="https://doi.org/10.1080/08841241.2022.2139791" TargetMode="External"/><Relationship Id="rId46" Type="http://schemas.openxmlformats.org/officeDocument/2006/relationships/hyperlink" Target="https://doi.org/10.5465/19416520.2010.495581" TargetMode="External"/><Relationship Id="rId45" Type="http://schemas.openxmlformats.org/officeDocument/2006/relationships/hyperlink" Target="https://doi.org/10.70619/vol2iss3pp19-3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 Id="rId48" Type="http://schemas.openxmlformats.org/officeDocument/2006/relationships/hyperlink" Target="http://globalusrnetwork.org/resources/Driving_Universities.pdf" TargetMode="External"/><Relationship Id="rId47" Type="http://schemas.openxmlformats.org/officeDocument/2006/relationships/hyperlink" Target="https://doi.org/10.5465/19416520.2010.495581" TargetMode="External"/><Relationship Id="rId49" Type="http://schemas.openxmlformats.org/officeDocument/2006/relationships/hyperlink" Target="http://globalusrnetwork.org/resources/Driving_Universities.pdf"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4.png"/><Relationship Id="rId31" Type="http://schemas.openxmlformats.org/officeDocument/2006/relationships/hyperlink" Target="https://www.researchgate.net/publication/259388764" TargetMode="External"/><Relationship Id="rId30" Type="http://schemas.openxmlformats.org/officeDocument/2006/relationships/hyperlink" Target="https://doi.org/10.1093/oso/9780199241637.001.0001" TargetMode="External"/><Relationship Id="rId33" Type="http://schemas.openxmlformats.org/officeDocument/2006/relationships/hyperlink" Target="https://ftu.edu.vn/chuy%C3%AAn-m%E1%BB%A5c-kh%C3%A1c2/78-chuy%C3%AAn-m%E1%BB%A5c-kh%C3%A1c/3320" TargetMode="External"/><Relationship Id="rId32" Type="http://schemas.openxmlformats.org/officeDocument/2006/relationships/hyperlink" Target="https://ftu.edu.vn/chuy%C3%AAn-m%E1%BB%A5c-kh%C3%A1c2/78-chuy%C3%AAn-m%E1%BB%A5c-kh%C3%A1c/3320" TargetMode="External"/><Relationship Id="rId35" Type="http://schemas.openxmlformats.org/officeDocument/2006/relationships/hyperlink" Target="https://www.mdpi.com/2227-7102/12/1/19" TargetMode="External"/><Relationship Id="rId34" Type="http://schemas.openxmlformats.org/officeDocument/2006/relationships/hyperlink" Target="https://www.mdpi.com/2227-7102/12/1/19" TargetMode="External"/><Relationship Id="rId37" Type="http://schemas.openxmlformats.org/officeDocument/2006/relationships/hyperlink" Target="https://doi.org/10.1108/09513550610669176" TargetMode="External"/><Relationship Id="rId36" Type="http://schemas.openxmlformats.org/officeDocument/2006/relationships/hyperlink" Target="https://doi.org/10.1108/09513550610669176" TargetMode="External"/><Relationship Id="rId39" Type="http://schemas.openxmlformats.org/officeDocument/2006/relationships/hyperlink" Target="https://doi.org/10.1007/s10551-015-2613-5" TargetMode="External"/><Relationship Id="rId38" Type="http://schemas.openxmlformats.org/officeDocument/2006/relationships/hyperlink" Target="https://doi.org/10.1007/s10551-015-2613-5" TargetMode="External"/><Relationship Id="rId62" Type="http://schemas.openxmlformats.org/officeDocument/2006/relationships/footer" Target="footer1.xml"/><Relationship Id="rId61" Type="http://schemas.openxmlformats.org/officeDocument/2006/relationships/hyperlink" Target="https://doi.org/10.36085/jakta.v4i1.5376" TargetMode="External"/><Relationship Id="rId20" Type="http://schemas.openxmlformats.org/officeDocument/2006/relationships/hyperlink" Target="https://books.google.com.vn/books?hl=vi&amp;id=wBFP_qrOYk8C" TargetMode="External"/><Relationship Id="rId22" Type="http://schemas.openxmlformats.org/officeDocument/2006/relationships/hyperlink" Target="https://accp.org/resources/csr-resources/accp-insights-blog/corporate-social-responsibility-brief-history" TargetMode="External"/><Relationship Id="rId21" Type="http://schemas.openxmlformats.org/officeDocument/2006/relationships/hyperlink" Target="https://books.google.com.vn/books?hl=en&amp;id=-4bTy1ONeU8C" TargetMode="External"/><Relationship Id="rId24" Type="http://schemas.openxmlformats.org/officeDocument/2006/relationships/hyperlink" Target="https://www.researchgate.net/publication/282441223" TargetMode="External"/><Relationship Id="rId23" Type="http://schemas.openxmlformats.org/officeDocument/2006/relationships/hyperlink" Target="https://accp.org/resources/csr-resources/accp-insights-blog/corporate-social-responsibility-brief-history" TargetMode="External"/><Relationship Id="rId60" Type="http://schemas.openxmlformats.org/officeDocument/2006/relationships/hyperlink" Target="https://doi.org/10.36085/jakta.v4i1.5376" TargetMode="External"/><Relationship Id="rId26" Type="http://schemas.openxmlformats.org/officeDocument/2006/relationships/hyperlink" Target="https://doi.org/10.3390/su7078881" TargetMode="External"/><Relationship Id="rId25" Type="http://schemas.openxmlformats.org/officeDocument/2006/relationships/hyperlink" Target="https://www.researchgate.net/publication/282441223" TargetMode="External"/><Relationship Id="rId28" Type="http://schemas.openxmlformats.org/officeDocument/2006/relationships/hyperlink" Target="https://doi.org/10.1080/00208825.2015.1006014" TargetMode="External"/><Relationship Id="rId27" Type="http://schemas.openxmlformats.org/officeDocument/2006/relationships/hyperlink" Target="https://doi.org/10.3390/su7078881" TargetMode="External"/><Relationship Id="rId29" Type="http://schemas.openxmlformats.org/officeDocument/2006/relationships/hyperlink" Target="https://doi.org/10.1080/00208825.2015.1006014" TargetMode="External"/><Relationship Id="rId51" Type="http://schemas.openxmlformats.org/officeDocument/2006/relationships/hyperlink" Target="https://icoen.org/wp-content/uploads/conference_doc/icoen5/book1/ICOEN5-2018-p228.pdf" TargetMode="External"/><Relationship Id="rId50" Type="http://schemas.openxmlformats.org/officeDocument/2006/relationships/hyperlink" Target="https://icoen.org/wp-content/uploads/conference_doc/icoen5/book1/ICOEN5-2018-p228.pdf" TargetMode="External"/><Relationship Id="rId53" Type="http://schemas.openxmlformats.org/officeDocument/2006/relationships/hyperlink" Target="https://jfm.edu.vn/index.php/jfme/article/view/889/579" TargetMode="External"/><Relationship Id="rId52" Type="http://schemas.openxmlformats.org/officeDocument/2006/relationships/hyperlink" Target="https://jfm.edu.vn/index.php/jfme/article/view/889/579" TargetMode="External"/><Relationship Id="rId11" Type="http://schemas.openxmlformats.org/officeDocument/2006/relationships/image" Target="media/image2.png"/><Relationship Id="rId55" Type="http://schemas.openxmlformats.org/officeDocument/2006/relationships/hyperlink" Target="https://doi.org/10.13140/2.1.2121.1523" TargetMode="External"/><Relationship Id="rId10" Type="http://schemas.openxmlformats.org/officeDocument/2006/relationships/image" Target="media/image3.png"/><Relationship Id="rId54" Type="http://schemas.openxmlformats.org/officeDocument/2006/relationships/hyperlink" Target="https://doi.org/10.13140/2.1.2121.1523" TargetMode="External"/><Relationship Id="rId13" Type="http://schemas.openxmlformats.org/officeDocument/2006/relationships/hyperlink" Target="https://doi.org/10.1007/s41471-024-00190-6" TargetMode="External"/><Relationship Id="rId57" Type="http://schemas.openxmlformats.org/officeDocument/2006/relationships/hyperlink" Target="https://doi.org/10.1007/s10551-014-2258-4" TargetMode="External"/><Relationship Id="rId12" Type="http://schemas.openxmlformats.org/officeDocument/2006/relationships/hyperlink" Target="https://doi.org/10.1007/s41471-024-00190-6" TargetMode="External"/><Relationship Id="rId56" Type="http://schemas.openxmlformats.org/officeDocument/2006/relationships/hyperlink" Target="https://doi.org/10.1007/s10551-014-2258-4" TargetMode="External"/><Relationship Id="rId15" Type="http://schemas.openxmlformats.org/officeDocument/2006/relationships/hyperlink" Target="https://www.sciencedirect.com/science/article/abs/pii/S0959652607002545" TargetMode="External"/><Relationship Id="rId59" Type="http://schemas.openxmlformats.org/officeDocument/2006/relationships/hyperlink" Target="https://doi.org/10.1108/IJEM-01-2022-0034" TargetMode="External"/><Relationship Id="rId14" Type="http://schemas.openxmlformats.org/officeDocument/2006/relationships/hyperlink" Target="https://www.sciencedirect.com/science/article/abs/pii/S0959652607002545" TargetMode="External"/><Relationship Id="rId58" Type="http://schemas.openxmlformats.org/officeDocument/2006/relationships/hyperlink" Target="https://doi.org/10.1108/IJEM-01-2022-0034" TargetMode="External"/><Relationship Id="rId17" Type="http://schemas.openxmlformats.org/officeDocument/2006/relationships/hyperlink" Target="https://doi.org/10.1080/2331186X.2024.2356428" TargetMode="External"/><Relationship Id="rId16" Type="http://schemas.openxmlformats.org/officeDocument/2006/relationships/hyperlink" Target="https://doi.org/10.1080/2331186X.2024.2356428" TargetMode="External"/><Relationship Id="rId19" Type="http://schemas.openxmlformats.org/officeDocument/2006/relationships/hyperlink" Target="https://doi.org/10.15408/akt.v12i2.12862" TargetMode="External"/><Relationship Id="rId18" Type="http://schemas.openxmlformats.org/officeDocument/2006/relationships/hyperlink" Target="https://doi.org/10.15408/akt.v12i2.1286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SwuEe5/R9AskQiuSb5M56JnZHA==">CgMxLjAaJQoBMBIgCh4IB0IaCg9UaW1lcyBOZXcgUm9tYW4SB0d1bmdzdWgaIwoBMRIeChwIB0IYCg9UaW1lcyBOZXcgUm9tYW4SBUNhcmRvGiMKATISHgocCAdCGAoPVGltZXMgTmV3IFJvbWFuEgVDYXJkbxojCgEzEh4KHAgHQhgKD1RpbWVzIE5ldyBSb21hbhIFQ2FyZG8aIwoBNBIeChwIB0IYCg9UaW1lcyBOZXcgUm9tYW4SBUNhcmRvGiMKATUSHgocCAdCGAoPVGltZXMgTmV3IFJvbWFuEgVDYXJkbzIOaC54eWIwcGZmamNpNDAyDmgucTVweGk4cTlhNWZoMg5oLjJ2d2R2OTU3ZXNvMDIOaC5tcXlvOTlwcHdidHYyDmguY3Qybm5lZWNoZjVhMg1oLmwxYnVuODR6MDRmMg5oLmQ2M3hqaWIwZnEwMjIOaC45cnJsNHZjNXZveTEyDWguNzYzOG42eTE3cWkyDmguNmwzanJsamNyc2w2Mg5oLmhncDZrM3U2cnFoOTIOaC5pd3o2NGJybW1pOTYyDmguYWR5Z2VoeDc4cXN3Mg5oLmhlZm50M2E2bWpoeDIOaC5waXhqbHM2eTJmYTkyDmguNzk2OXptYzN4bzVxOAByITFGckJpRWFsWjZSUVh0SDdYb1MwNFNHaUUxNDVtenZh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