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288" w:before="48.00000000000001" w:line="288" w:lineRule="auto"/>
              <w:rPr>
                <w:rFonts w:ascii="Times New Roman" w:cs="Times New Roman" w:eastAsia="Times New Roman" w:hAnsi="Times New Roman"/>
                <w:b w:val="1"/>
                <w:bCs w:val="1"/>
                <w:sz w:val="24"/>
                <w:szCs w:val="24"/>
              </w:rPr>
            </w:pPr>
            <w:bookmarkStart w:colFirst="0" w:colLast="0" w:name="_heading=h.smlfod8qwzwh"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203018466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288" w:before="48.00000000000001" w:line="288"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288" w:before="48.00000000000001"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288" w:before="48.00000000000001" w:line="288"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2026.2.3.7</w:t>
            </w:r>
            <w:r w:rsidDel="00000000" w:rsidR="00000000" w:rsidRPr="00000000">
              <w:rPr>
                <w:rtl w:val="0"/>
              </w:rPr>
            </w:r>
          </w:p>
          <w:p w:rsidR="00000000" w:rsidDel="00000000" w:rsidP="00000000" w:rsidRDefault="00000000" w:rsidRPr="00000000" w14:paraId="00000007">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w:t>
            </w:r>
          </w:p>
          <w:p w:rsidR="00000000" w:rsidDel="00000000" w:rsidP="00000000" w:rsidRDefault="00000000" w:rsidRPr="00000000" w14:paraId="00000008">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288" w:before="48.00000000000001" w:line="288"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VAI TRÒ TRUNG GIAN CỦA TƯ DUY PHẢN BIỆN TRONG MỐI QUAN HỆ GIỮA NIỀM TIN VÀO NĂNG LỰC HỌC TẬP VÀ SỰ PHỤ THUỘC VÀO TRÍ TUỆ NHÂN TẠO CỦA SINH VIÊN ĐẠI HỌC TẠI THÀNH PHỐ HỒ CHÍ MINH</w:t>
      </w:r>
    </w:p>
    <w:p w:rsidR="00000000" w:rsidDel="00000000" w:rsidP="00000000" w:rsidRDefault="00000000" w:rsidRPr="00000000" w14:paraId="0000000C">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Bùi Quỳnh Giao</w:t>
      </w:r>
      <w:r w:rsidDel="00000000" w:rsidR="00000000" w:rsidRPr="00000000">
        <w:rPr>
          <w:rFonts w:ascii="Times New Roman" w:cs="Times New Roman" w:eastAsia="Times New Roman" w:hAnsi="Times New Roman"/>
          <w:b w:val="1"/>
          <w:bCs w:val="1"/>
          <w:i w:val="1"/>
          <w:iCs w:val="1"/>
          <w:color w:val="000000"/>
          <w:sz w:val="24"/>
          <w:szCs w:val="24"/>
          <w:vertAlign w:val="superscript"/>
        </w:rPr>
        <w:footnoteReference w:customMarkFollows="0" w:id="0"/>
      </w:r>
      <w:r w:rsidDel="00000000" w:rsidR="00000000" w:rsidRPr="00000000">
        <w:rPr>
          <w:rFonts w:ascii="Times New Roman" w:cs="Times New Roman" w:eastAsia="Times New Roman" w:hAnsi="Times New Roman"/>
          <w:b w:val="1"/>
          <w:bCs w:val="1"/>
          <w:i w:val="1"/>
          <w:iCs w:val="1"/>
          <w:color w:val="000000"/>
          <w:sz w:val="24"/>
          <w:szCs w:val="24"/>
          <w:rtl w:val="0"/>
        </w:rPr>
        <w:t xml:space="preserve">, Trương Hoài Minh Thư, Lê Thanh Thảo Vy, Trịnh Thị Hoàng Yến</w:t>
      </w:r>
      <w:r w:rsidDel="00000000" w:rsidR="00000000" w:rsidRPr="00000000">
        <w:rPr>
          <w:rtl w:val="0"/>
        </w:rPr>
      </w:r>
    </w:p>
    <w:p w:rsidR="00000000" w:rsidDel="00000000" w:rsidP="00000000" w:rsidRDefault="00000000" w:rsidRPr="00000000" w14:paraId="0000000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K61CLC Truyền thông Marketing Tích hợp &amp; Sinh viên K62 Kinh tế đối ngoại  – Bộ môn Kinh Doanh &amp; Thương Mại Quốc Tế</w:t>
      </w:r>
    </w:p>
    <w:p w:rsidR="00000000" w:rsidDel="00000000" w:rsidP="00000000" w:rsidRDefault="00000000" w:rsidRPr="00000000" w14:paraId="0000000E">
      <w:pPr>
        <w:spacing w:after="288" w:before="48.00000000000001"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tại Thành phố Hồ Chí Minh, Việt Nam</w:t>
      </w:r>
    </w:p>
    <w:p w:rsidR="00000000" w:rsidDel="00000000" w:rsidP="00000000" w:rsidRDefault="00000000" w:rsidRPr="00000000" w14:paraId="0000000F">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Giảng viên: Lê Hằng Mỹ Hạnh</w:t>
      </w:r>
    </w:p>
    <w:p w:rsidR="00000000" w:rsidDel="00000000" w:rsidP="00000000" w:rsidRDefault="00000000" w:rsidRPr="00000000" w14:paraId="0000001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Bộ môn Kinh tế Luật</w:t>
      </w:r>
    </w:p>
    <w:p w:rsidR="00000000" w:rsidDel="00000000" w:rsidP="00000000" w:rsidRDefault="00000000" w:rsidRPr="00000000" w14:paraId="00000011">
      <w:pPr>
        <w:spacing w:after="288" w:before="48.00000000000001"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tại Thành phố Hồ Chí Minh, Việt Nam</w:t>
      </w:r>
    </w:p>
    <w:p w:rsidR="00000000" w:rsidDel="00000000" w:rsidP="00000000" w:rsidRDefault="00000000" w:rsidRPr="00000000" w14:paraId="00000012">
      <w:pPr>
        <w:spacing w:after="288" w:before="48.00000000000001" w:line="288"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3">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Tóm tắt: </w:t>
      </w:r>
      <w:r w:rsidDel="00000000" w:rsidR="00000000" w:rsidRPr="00000000">
        <w:rPr>
          <w:rFonts w:ascii="Times New Roman" w:cs="Times New Roman" w:eastAsia="Times New Roman" w:hAnsi="Times New Roman"/>
          <w:sz w:val="24"/>
          <w:szCs w:val="24"/>
          <w:rtl w:val="0"/>
        </w:rPr>
        <w:t xml:space="preserve">Nghiên cứu này xem xét vai trò trung gian của tư duy phản biện trong mối quan hệ giữa niềm tin vào năng lực học tập của bản thân và sự phụ thuộc vào trí tuệ nhân tạo của sinh viên đại học tại Thành phố Hồ Chí Minh. Dữ liệu sơ cấp được thu thập từ 299 sinh viên thuộc nhiều trường đại học khác nhau thông qua bảng câu hỏi trực tuyến, được xây dựng dựa trên Thang đo Đánh giá Tự hiệu quả Học tập và Sự phụ thuộc vào AI (ASAIDAS), và được phân tích bằng phương pháp mô hình cấu trúc tuyến tính (SEM). Kết quả cho thấy tự hiệu quả học tập có ảnh hưởng tích cực và có ý nghĩa thống kê đến kỹ năng tư duy phản biện của sinh viên (β = 0,690, p &lt; 0,001), trong khi tác động trực tiếp của tự hiệu quả học tập và tư duy phản biện lên sự phụ thuộc vào AI không có ý nghĩa thống kê. Ngoài ra, tư duy phản biện không đóng vai trò trung gian trong mối quan hệ giữa tự hiệu quả học tập và sự phụ thuộc vào AI.</w:t>
      </w:r>
    </w:p>
    <w:p w:rsidR="00000000" w:rsidDel="00000000" w:rsidP="00000000" w:rsidRDefault="00000000" w:rsidRPr="00000000" w14:paraId="00000014">
      <w:pPr>
        <w:pBdr>
          <w:top w:color="000000" w:space="1" w:sz="4" w:val="single"/>
        </w:pBdr>
        <w:spacing w:after="288" w:before="48.00000000000001" w:line="288" w:lineRule="auto"/>
        <w:ind w:right="48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288" w:before="48.00000000000001" w:line="288"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niềm tin vào năng lực học tập, tư duy phản biện, sự phụ thuộc vào AI, giáo dục đại học, SEM</w:t>
      </w:r>
      <w:r w:rsidDel="00000000" w:rsidR="00000000" w:rsidRPr="00000000">
        <w:rPr>
          <w:rtl w:val="0"/>
        </w:rPr>
      </w:r>
    </w:p>
    <w:p w:rsidR="00000000" w:rsidDel="00000000" w:rsidP="00000000" w:rsidRDefault="00000000" w:rsidRPr="00000000" w14:paraId="00000016">
      <w:pPr>
        <w:spacing w:after="288" w:before="48.00000000000001" w:line="288" w:lineRule="auto"/>
        <w:ind w:right="4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THE MEDIATING ROLE OF CRITICAL THINKING IN THE RELATIONSHIP BETWEEN ACADEMIC SELF-EFFICACY AND AI DEPENDENCE OF UNIVERSITY STUDENTS IN HO CHI MINH CITY</w:t>
      </w:r>
    </w:p>
    <w:p w:rsidR="00000000" w:rsidDel="00000000" w:rsidP="00000000" w:rsidRDefault="00000000" w:rsidRPr="00000000" w14:paraId="00000018">
      <w:pPr>
        <w:spacing w:after="288" w:before="48.00000000000001"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9">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examined the mediating role of critical thinking in the relationship between academic self-efficacy and AI dependence of university students in Ho Chi Minh City (HCMC). Primary data was collected from 299 students from different universities via online questionnaires developed from the Academic Self-Efficacy and AI Dependency Assessment Scale (ASAIDAS) and was analyzed via structural equation modeling (SEM). The findings demonstrated that academic self-efficacy significantly and positively influenced students’ critical thinking skills (β = 0.690, p &lt; 0.001), whereas the direct effects of academic self-efficacy (ASE) and critical thinking (CT) on AI dependence (AID) were not statistically significant. Furthermore, critical thinking did not mediate the relationship between academic self-efficacy and AI dependence. </w:t>
      </w:r>
    </w:p>
    <w:p w:rsidR="00000000" w:rsidDel="00000000" w:rsidP="00000000" w:rsidRDefault="00000000" w:rsidRPr="00000000" w14:paraId="0000001A">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288" w:before="48.00000000000001"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words</w:t>
      </w:r>
      <w:r w:rsidDel="00000000" w:rsidR="00000000" w:rsidRPr="00000000">
        <w:rPr>
          <w:rFonts w:ascii="Times New Roman" w:cs="Times New Roman" w:eastAsia="Times New Roman" w:hAnsi="Times New Roman"/>
          <w:sz w:val="24"/>
          <w:szCs w:val="24"/>
          <w:rtl w:val="0"/>
        </w:rPr>
        <w:t xml:space="preserve">: academic self-efficacy, critical thinking, AI dependence, higher education, SEM</w:t>
      </w:r>
      <w:r w:rsidDel="00000000" w:rsidR="00000000" w:rsidRPr="00000000">
        <w:rPr>
          <w:rtl w:val="0"/>
        </w:rPr>
      </w:r>
    </w:p>
    <w:p w:rsidR="00000000" w:rsidDel="00000000" w:rsidP="00000000" w:rsidRDefault="00000000" w:rsidRPr="00000000" w14:paraId="0000001C">
      <w:pPr>
        <w:pBdr>
          <w:bottom w:color="000000" w:space="1" w:sz="4" w:val="single"/>
        </w:pBdr>
        <w:spacing w:after="288" w:before="48.00000000000001" w:line="288" w:lineRule="auto"/>
        <w:ind w:right="48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D">
      <w:pPr>
        <w:spacing w:after="288" w:before="48.00000000000001" w:line="288"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1"/>
          <w:bCs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 </w:t>
      </w:r>
    </w:p>
    <w:p w:rsidR="00000000" w:rsidDel="00000000" w:rsidP="00000000" w:rsidRDefault="00000000" w:rsidRPr="00000000" w14:paraId="0000001F">
      <w:pPr>
        <w:spacing w:after="288" w:before="48.00000000000001" w:line="288"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recent years, AI has been developed in different aspects of life at a significant pace, transforming scientific research, labor market, social communications, global security, and the economy (Zgurovsky, 2025). Specifically in education, AI is reshaping how knowledge is created, delivered, and assessed.  According to the Industry Global Forecast (GMI, 2023), the market size for AI in Education has reached USD 4 billion in 2022 and is expected to expand at over 10% CAGR from 2023 to 2032, due to the growing trend towards personalized learning. </w:t>
      </w:r>
    </w:p>
    <w:p w:rsidR="00000000" w:rsidDel="00000000" w:rsidP="00000000" w:rsidRDefault="00000000" w:rsidRPr="00000000" w14:paraId="00000020">
      <w:pPr>
        <w:spacing w:after="288" w:before="48.00000000000001" w:line="288"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urban centers like HCMC, Vietnam, with more than 500,000 university students, digital transformation is moving fast. The integration of AI in education has significantly improved access and learning efficiency, preparing students for an increasingly technological and ever-changing world (Haleem et al., 2022). However, this rapid growth raises concerns about AI dependency, which means relying too heavily on AI in ways that can limit students’ ability to develop their own skills (Zhang et al., 2024). </w:t>
      </w:r>
    </w:p>
    <w:p w:rsidR="00000000" w:rsidDel="00000000" w:rsidP="00000000" w:rsidRDefault="00000000" w:rsidRPr="00000000" w14:paraId="00000021">
      <w:pPr>
        <w:spacing w:after="288" w:before="48.00000000000001" w:line="288"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Against this background, this study aims to examine how academic self-efficacy and critical thinking relate to AI dependence among university students in HCMC. While previous studies have mainly focused on factors influencing students’ intention to use AI, this research investigates AI dependence as a behavioral outcome and explores the potential mediating role of critical thinking. In addition, the study provides empirical evidence from the Vietnamese higher education context, which remains relatively underexplored in current AI-education research.</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1"/>
          <w:bCs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Theoretical framework </w:t>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Theoretical Foundations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9iv52vpg3wr4" w:id="1"/>
      <w:bookmarkEnd w:id="1"/>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2.1.1. Bandura’s Self-Efficacy Theory</w:t>
      </w:r>
    </w:p>
    <w:p w:rsidR="00000000" w:rsidDel="00000000" w:rsidP="00000000" w:rsidRDefault="00000000" w:rsidRPr="00000000" w14:paraId="0000002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Bandura (1977) defines self-efficacy as beliefs in one’s capability to perform actions required for success, shaped by performance, observation, persuasion, and physiological states. In academic contexts, self-efficacy supports motivation, persistence, and learning strategies, with higher levels linked to greater effort, resilience, and advanced cognitive skills such as problem-solving and critical thinking (Bandura, 1997; Multon et al., 1991; Vachova et al., 2023).</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kgaupgxqd8cd" w:id="2"/>
      <w:bookmarkEnd w:id="2"/>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2.1.2. Critical Thinking Framework </w:t>
      </w:r>
    </w:p>
    <w:p w:rsidR="00000000" w:rsidDel="00000000" w:rsidP="00000000" w:rsidRDefault="00000000" w:rsidRPr="00000000" w14:paraId="0000002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Paul and Elder (2014), critical thinking is “that mode of thinking - about any subject, content, or problem - in which the thinker improves the quality of his or her thinking by skillfully analyzing, assessing, and reconstructing it.” It is described as self-directed, self-disciplined, self-monitored, and self-corrective thinking. The Paul-Elder model of critical thinking includes three main parts: Standards; Elements; and Traits. The elements represent the basic structure of reasoning, the standards guide the assessment of validity and logic, and the traits reflect the qualities of effective thinkers, such as open-mindedness and integrity (Thompson, Ralston and Hieb, 2020).</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fqnj76f3g5ms" w:id="3"/>
      <w:bookmarkEnd w:id="3"/>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2.1.3. Technology Acceptance and Dependence Perspective (UTAUT2)</w:t>
      </w:r>
    </w:p>
    <w:p w:rsidR="00000000" w:rsidDel="00000000" w:rsidP="00000000" w:rsidRDefault="00000000" w:rsidRPr="00000000" w14:paraId="0000002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Unified Theory of Acceptance and Use of Technology (UTAUT) explains technology use through performance expectancy, effort expectancy, social influence, and facilitating conditions (Venkatesh et al., 2003), later expanded to UTAUT2 with motivation, value, and habit (Venkatesh et al., 2012). Widely applied in higher education, UTAUT2 explains students’ engagement with AI tools and informs examining critical thinking as a mediator (Or, 2023; Tamilmani et al., 2021; Acosta-Enriquez et al., 2024).</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bookmarkStart w:colFirst="0" w:colLast="0" w:name="_heading=h.cbv78urcatl3" w:id="4"/>
      <w:bookmarkEnd w:id="4"/>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2.2. Academic Self-Efficacy (ASE)</w:t>
      </w:r>
    </w:p>
    <w:p w:rsidR="00000000" w:rsidDel="00000000" w:rsidP="00000000" w:rsidRDefault="00000000" w:rsidRPr="00000000" w14:paraId="0000002B">
      <w:pPr>
        <w:spacing w:after="288" w:before="48.00000000000001" w:line="288" w:lineRule="auto"/>
        <w:ind w:firstLine="720"/>
        <w:rPr>
          <w:rFonts w:ascii="Times New Roman" w:cs="Times New Roman" w:eastAsia="Times New Roman" w:hAnsi="Times New Roman"/>
          <w:b w:val="1"/>
          <w:bCs w:val="1"/>
          <w:i w:val="1"/>
          <w:iCs w:val="1"/>
          <w:sz w:val="24"/>
          <w:szCs w:val="24"/>
        </w:rPr>
      </w:pPr>
      <w:bookmarkStart w:colFirst="0" w:colLast="0" w:name="_heading=h.q8zaatwiqlqx" w:id="5"/>
      <w:bookmarkEnd w:id="5"/>
      <w:r w:rsidDel="00000000" w:rsidR="00000000" w:rsidRPr="00000000">
        <w:rPr>
          <w:rFonts w:ascii="Times New Roman" w:cs="Times New Roman" w:eastAsia="Times New Roman" w:hAnsi="Times New Roman"/>
          <w:sz w:val="24"/>
          <w:szCs w:val="24"/>
          <w:rtl w:val="0"/>
        </w:rPr>
        <w:t xml:space="preserve">Academic self-efficacy is grounded in Bandura’s social cognitive theory, which is about the influences among personal, behavioral, and social or environmental factors. Students with high ASE beliefs show a strong confidence in their ability to plan, organize, and execute academic tasks effectively (Zhang et al., 2024). Huang (2013) believed that the level of an individual's ASE can be influenced by gender, age, or domains such as mathematics and social sciences.</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Critical Thinking (CT)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Critical thinking is a core competency in higher education, rooted in philosophy and psychology (Lewis &amp; Smith, 1993). Philosophical views emphasize ideal reasoning standards (Thayer-Bacon, 2000; Bailin, 2002), while psychological approaches focus on real cognitive processes (Sternberg, 1986). This study adopts Paul and Elder’s (2014) framework, defining critical thinking as the ability to analyze, evaluate, and reflect to inform judgment. Prior research identifies academic self-efficacy as a strong predictor of critical thinking (Dehghani et al., 2011; Wang, 2014; Vachova et al., 2023), and recent studies suggest AI interaction may further support reflective and complex thinking (Suriano et al., 2025).</w:t>
      </w:r>
    </w:p>
    <w:p w:rsidR="00000000" w:rsidDel="00000000" w:rsidP="00000000" w:rsidRDefault="00000000" w:rsidRPr="00000000" w14:paraId="0000002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AI Dependence (AID)</w:t>
      </w:r>
    </w:p>
    <w:p w:rsidR="00000000" w:rsidDel="00000000" w:rsidP="00000000" w:rsidRDefault="00000000" w:rsidRPr="00000000" w14:paraId="0000002F">
      <w:pPr>
        <w:spacing w:after="288" w:before="48.00000000000001" w:line="288"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Dependence generally refers to a strong psychological need that shapes decision-making and behavior (Morales-García et al., 2024). While clinical dependence involves neurobiological processes linked to substances, AI dependence is better understood as a behavioral pattern in which individuals rely excessively on AI to think or make decisions for them. In academic contexts, tools such as ChatGPT can enhance efficiency and performance, yet overreliance may reduce critical engagement, creativity, and expose students to unverified information (Zhang et al., 2024). Consequently, scholars emphasize the need for learners to actively question, critique, and remain attentive to issues of privacy, power, and control, while preserving creativity in teaching and learning (Popenici &amp; Kerr, 2017).</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Hypotheses Development</w:t>
      </w:r>
      <w:r w:rsidDel="00000000" w:rsidR="00000000" w:rsidRPr="00000000">
        <w:rPr>
          <w:rtl w:val="0"/>
        </w:rPr>
      </w:r>
    </w:p>
    <w:p w:rsidR="00000000" w:rsidDel="00000000" w:rsidP="00000000" w:rsidRDefault="00000000" w:rsidRPr="00000000" w14:paraId="0000003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conclusions of previous studies by Acosta-Enriquez et al. (2024) and Acosta-Enriquez et al. (2025), along with Bandura’s Self-Efficacy Theory (1997), Critical Thinking Framework by Paul and Elder (2014) and UTAUT2 model of Venkatesh et al. (2012), the proposed research model aims to determine the mediating role of critical thinking between academic self-efficacy and AI dependency.</w:t>
      </w:r>
    </w:p>
    <w:p w:rsidR="00000000" w:rsidDel="00000000" w:rsidP="00000000" w:rsidRDefault="00000000" w:rsidRPr="00000000" w14:paraId="00000032">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288" w:before="48.00000000000001" w:line="28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288" w:before="48.00000000000001" w:line="288" w:lineRule="auto"/>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2574290</wp:posOffset>
                </wp:positionH>
                <wp:positionV relativeFrom="paragraph">
                  <wp:posOffset>-348614</wp:posOffset>
                </wp:positionV>
                <wp:extent cx="1282700" cy="543560"/>
                <wp:effectExtent b="0" l="0" r="0" t="0"/>
                <wp:wrapNone/>
                <wp:docPr id="2030184655" name=""/>
                <a:graphic>
                  <a:graphicData uri="http://schemas.microsoft.com/office/word/2010/wordprocessingShape">
                    <wps:wsp>
                      <wps:cNvSpPr/>
                      <wps:cNvPr id="4" name="Shape 4"/>
                      <wps:spPr>
                        <a:xfrm>
                          <a:off x="4717350" y="3520920"/>
                          <a:ext cx="1257300" cy="518160"/>
                        </a:xfrm>
                        <a:prstGeom prst="rect">
                          <a:avLst/>
                        </a:prstGeom>
                        <a:solidFill>
                          <a:schemeClr val="lt1"/>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Critical Thinking</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(CT)</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2574290</wp:posOffset>
                </wp:positionH>
                <wp:positionV relativeFrom="paragraph">
                  <wp:posOffset>-348614</wp:posOffset>
                </wp:positionV>
                <wp:extent cx="1282700" cy="543560"/>
                <wp:effectExtent b="0" l="0" r="0" t="0"/>
                <wp:wrapNone/>
                <wp:docPr id="2030184655"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282700" cy="5435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4093059</wp:posOffset>
                </wp:positionH>
                <wp:positionV relativeFrom="paragraph">
                  <wp:posOffset>-255553</wp:posOffset>
                </wp:positionV>
                <wp:extent cx="894945" cy="563177"/>
                <wp:effectExtent b="0" l="0" r="0" t="0"/>
                <wp:wrapNone/>
                <wp:docPr id="2030184656" name=""/>
                <a:graphic>
                  <a:graphicData uri="http://schemas.microsoft.com/office/word/2010/wordprocessingShape">
                    <wps:wsp>
                      <wps:cNvSpPr/>
                      <wps:cNvPr id="5" name="Shape 5"/>
                      <wps:spPr>
                        <a:xfrm rot="935366">
                          <a:off x="4943765" y="3612360"/>
                          <a:ext cx="804471" cy="335280"/>
                        </a:xfrm>
                        <a:prstGeom prst="rect">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H3</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4093059</wp:posOffset>
                </wp:positionH>
                <wp:positionV relativeFrom="paragraph">
                  <wp:posOffset>-255553</wp:posOffset>
                </wp:positionV>
                <wp:extent cx="894945" cy="563177"/>
                <wp:effectExtent b="0" l="0" r="0" t="0"/>
                <wp:wrapNone/>
                <wp:docPr id="2030184656"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894945" cy="56317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1555449</wp:posOffset>
                </wp:positionH>
                <wp:positionV relativeFrom="paragraph">
                  <wp:posOffset>-379462</wp:posOffset>
                </wp:positionV>
                <wp:extent cx="981877" cy="642085"/>
                <wp:effectExtent b="0" l="0" r="0" t="0"/>
                <wp:wrapNone/>
                <wp:docPr id="2030184658" name=""/>
                <a:graphic>
                  <a:graphicData uri="http://schemas.microsoft.com/office/word/2010/wordprocessingShape">
                    <wps:wsp>
                      <wps:cNvSpPr/>
                      <wps:cNvPr id="7" name="Shape 7"/>
                      <wps:spPr>
                        <a:xfrm rot="-1165709">
                          <a:off x="4899813" y="3618075"/>
                          <a:ext cx="892375" cy="323850"/>
                        </a:xfrm>
                        <a:prstGeom prst="rect">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H2</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1555449</wp:posOffset>
                </wp:positionH>
                <wp:positionV relativeFrom="paragraph">
                  <wp:posOffset>-379462</wp:posOffset>
                </wp:positionV>
                <wp:extent cx="981877" cy="642085"/>
                <wp:effectExtent b="0" l="0" r="0" t="0"/>
                <wp:wrapNone/>
                <wp:docPr id="2030184658"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981877" cy="642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1379538</wp:posOffset>
                </wp:positionH>
                <wp:positionV relativeFrom="paragraph">
                  <wp:posOffset>-93661</wp:posOffset>
                </wp:positionV>
                <wp:extent cx="1209675" cy="581025"/>
                <wp:effectExtent b="0" l="0" r="0" t="0"/>
                <wp:wrapNone/>
                <wp:docPr id="2030184657" name=""/>
                <a:graphic>
                  <a:graphicData uri="http://schemas.microsoft.com/office/word/2010/wordprocessingShape">
                    <wps:wsp>
                      <wps:cNvCnPr/>
                      <wps:spPr>
                        <a:xfrm flipH="1" rot="10800000">
                          <a:off x="4745925" y="3494250"/>
                          <a:ext cx="1200150" cy="57150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1379538</wp:posOffset>
                </wp:positionH>
                <wp:positionV relativeFrom="paragraph">
                  <wp:posOffset>-93661</wp:posOffset>
                </wp:positionV>
                <wp:extent cx="1209675" cy="581025"/>
                <wp:effectExtent b="0" l="0" r="0" t="0"/>
                <wp:wrapNone/>
                <wp:docPr id="2030184657"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209675" cy="581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3849687</wp:posOffset>
                </wp:positionH>
                <wp:positionV relativeFrom="paragraph">
                  <wp:posOffset>-106361</wp:posOffset>
                </wp:positionV>
                <wp:extent cx="1300900" cy="644525"/>
                <wp:effectExtent b="0" l="0" r="0" t="0"/>
                <wp:wrapNone/>
                <wp:docPr id="2030184653" name=""/>
                <a:graphic>
                  <a:graphicData uri="http://schemas.microsoft.com/office/word/2010/wordprocessingShape">
                    <wps:wsp>
                      <wps:cNvCnPr/>
                      <wps:spPr>
                        <a:xfrm>
                          <a:off x="4700313" y="3462500"/>
                          <a:ext cx="1291375" cy="63500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3849687</wp:posOffset>
                </wp:positionH>
                <wp:positionV relativeFrom="paragraph">
                  <wp:posOffset>-106361</wp:posOffset>
                </wp:positionV>
                <wp:extent cx="1300900" cy="644525"/>
                <wp:effectExtent b="0" l="0" r="0" t="0"/>
                <wp:wrapNone/>
                <wp:docPr id="203018465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300900" cy="644525"/>
                        </a:xfrm>
                        <a:prstGeom prst="rect"/>
                        <a:ln/>
                      </pic:spPr>
                    </pic:pic>
                  </a:graphicData>
                </a:graphic>
              </wp:anchor>
            </w:drawing>
          </mc:Fallback>
        </mc:AlternateContent>
      </w:r>
    </w:p>
    <w:p w:rsidR="00000000" w:rsidDel="00000000" w:rsidP="00000000" w:rsidRDefault="00000000" w:rsidRPr="00000000" w14:paraId="00000035">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wp:posOffset>
                </wp:positionH>
                <wp:positionV relativeFrom="paragraph">
                  <wp:posOffset>102235</wp:posOffset>
                </wp:positionV>
                <wp:extent cx="1860550" cy="787400"/>
                <wp:effectExtent b="0" l="0" r="0" t="0"/>
                <wp:wrapNone/>
                <wp:docPr id="2030184661" name=""/>
                <a:graphic>
                  <a:graphicData uri="http://schemas.microsoft.com/office/word/2010/wordprocessingShape">
                    <wps:wsp>
                      <wps:cNvSpPr/>
                      <wps:cNvPr id="10" name="Shape 10"/>
                      <wps:spPr>
                        <a:xfrm>
                          <a:off x="4428425" y="3399000"/>
                          <a:ext cx="1835150" cy="762000"/>
                        </a:xfrm>
                        <a:prstGeom prst="rect">
                          <a:avLst/>
                        </a:prstGeom>
                        <a:solidFill>
                          <a:schemeClr val="lt1"/>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Academic Self-efficacy</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(ASE)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wp:posOffset>
                </wp:positionH>
                <wp:positionV relativeFrom="paragraph">
                  <wp:posOffset>102235</wp:posOffset>
                </wp:positionV>
                <wp:extent cx="1860550" cy="787400"/>
                <wp:effectExtent b="0" l="0" r="0" t="0"/>
                <wp:wrapNone/>
                <wp:docPr id="2030184661"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860550" cy="787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4184650</wp:posOffset>
                </wp:positionH>
                <wp:positionV relativeFrom="paragraph">
                  <wp:posOffset>130175</wp:posOffset>
                </wp:positionV>
                <wp:extent cx="1770380" cy="768350"/>
                <wp:effectExtent b="0" l="0" r="0" t="0"/>
                <wp:wrapNone/>
                <wp:docPr id="2030184659" name=""/>
                <a:graphic>
                  <a:graphicData uri="http://schemas.microsoft.com/office/word/2010/wordprocessingShape">
                    <wps:wsp>
                      <wps:cNvSpPr/>
                      <wps:cNvPr id="8" name="Shape 8"/>
                      <wps:spPr>
                        <a:xfrm>
                          <a:off x="4473510" y="3408525"/>
                          <a:ext cx="1744980" cy="742950"/>
                        </a:xfrm>
                        <a:prstGeom prst="rect">
                          <a:avLst/>
                        </a:prstGeom>
                        <a:solidFill>
                          <a:schemeClr val="lt1"/>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AI Dependence</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(AID)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4184650</wp:posOffset>
                </wp:positionH>
                <wp:positionV relativeFrom="paragraph">
                  <wp:posOffset>130175</wp:posOffset>
                </wp:positionV>
                <wp:extent cx="1770380" cy="768350"/>
                <wp:effectExtent b="0" l="0" r="0" t="0"/>
                <wp:wrapNone/>
                <wp:docPr id="2030184659"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770380" cy="768350"/>
                        </a:xfrm>
                        <a:prstGeom prst="rect"/>
                        <a:ln/>
                      </pic:spPr>
                    </pic:pic>
                  </a:graphicData>
                </a:graphic>
              </wp:anchor>
            </w:drawing>
          </mc:Fallback>
        </mc:AlternateContent>
      </w:r>
    </w:p>
    <w:p w:rsidR="00000000" w:rsidDel="00000000" w:rsidP="00000000" w:rsidRDefault="00000000" w:rsidRPr="00000000" w14:paraId="00000036">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2737485</wp:posOffset>
                </wp:positionH>
                <wp:positionV relativeFrom="paragraph">
                  <wp:posOffset>227329</wp:posOffset>
                </wp:positionV>
                <wp:extent cx="1031240" cy="383540"/>
                <wp:effectExtent b="0" l="0" r="0" t="0"/>
                <wp:wrapNone/>
                <wp:docPr id="2030184660" name=""/>
                <a:graphic>
                  <a:graphicData uri="http://schemas.microsoft.com/office/word/2010/wordprocessingShape">
                    <wps:wsp>
                      <wps:cNvSpPr/>
                      <wps:cNvPr id="9" name="Shape 9"/>
                      <wps:spPr>
                        <a:xfrm>
                          <a:off x="4843080" y="3600930"/>
                          <a:ext cx="1005840" cy="358140"/>
                        </a:xfrm>
                        <a:prstGeom prst="rect">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H1</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2737485</wp:posOffset>
                </wp:positionH>
                <wp:positionV relativeFrom="paragraph">
                  <wp:posOffset>227329</wp:posOffset>
                </wp:positionV>
                <wp:extent cx="1031240" cy="383540"/>
                <wp:effectExtent b="0" l="0" r="0" t="0"/>
                <wp:wrapNone/>
                <wp:docPr id="2030184660"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031240" cy="38354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2324100</wp:posOffset>
                </wp:positionH>
                <wp:positionV relativeFrom="paragraph">
                  <wp:posOffset>71120</wp:posOffset>
                </wp:positionV>
                <wp:extent cx="1892300" cy="12700"/>
                <wp:effectExtent b="0" l="0" r="0" t="0"/>
                <wp:wrapNone/>
                <wp:docPr id="2030184654" name=""/>
                <a:graphic>
                  <a:graphicData uri="http://schemas.microsoft.com/office/word/2010/wordprocessingShape">
                    <wps:wsp>
                      <wps:cNvCnPr/>
                      <wps:spPr>
                        <a:xfrm>
                          <a:off x="4399850" y="3773650"/>
                          <a:ext cx="1892300" cy="12700"/>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2324100</wp:posOffset>
                </wp:positionH>
                <wp:positionV relativeFrom="paragraph">
                  <wp:posOffset>71120</wp:posOffset>
                </wp:positionV>
                <wp:extent cx="1892300" cy="12700"/>
                <wp:effectExtent b="0" l="0" r="0" t="0"/>
                <wp:wrapNone/>
                <wp:docPr id="2030184654"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892300" cy="12700"/>
                        </a:xfrm>
                        <a:prstGeom prst="rect"/>
                        <a:ln/>
                      </pic:spPr>
                    </pic:pic>
                  </a:graphicData>
                </a:graphic>
              </wp:anchor>
            </w:drawing>
          </mc:Fallback>
        </mc:AlternateContent>
      </w:r>
    </w:p>
    <w:p w:rsidR="00000000" w:rsidDel="00000000" w:rsidP="00000000" w:rsidRDefault="00000000" w:rsidRPr="00000000" w14:paraId="00000037">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The proposed model</w:t>
      </w:r>
    </w:p>
    <w:p w:rsidR="00000000" w:rsidDel="00000000" w:rsidP="00000000" w:rsidRDefault="00000000" w:rsidRPr="00000000" w14:paraId="00000039">
      <w:pPr>
        <w:spacing w:after="288" w:before="48.00000000000001" w:line="288" w:lineRule="auto"/>
        <w:jc w:val="right"/>
        <w:rPr>
          <w:rFonts w:ascii="Times New Roman" w:cs="Times New Roman" w:eastAsia="Times New Roman" w:hAnsi="Times New Roman"/>
          <w:i w:val="1"/>
          <w:iCs w:val="1"/>
          <w:sz w:val="24"/>
          <w:szCs w:val="24"/>
        </w:rPr>
      </w:pPr>
      <w:bookmarkStart w:colFirst="0" w:colLast="0" w:name="_heading=h.hyaqpwnjahcu" w:id="6"/>
      <w:bookmarkEnd w:id="6"/>
      <w:r w:rsidDel="00000000" w:rsidR="00000000" w:rsidRPr="00000000">
        <w:rPr>
          <w:rFonts w:ascii="Times New Roman" w:cs="Times New Roman" w:eastAsia="Times New Roman" w:hAnsi="Times New Roman"/>
          <w:i w:val="1"/>
          <w:iCs w:val="1"/>
          <w:sz w:val="24"/>
          <w:szCs w:val="24"/>
          <w:rtl w:val="0"/>
        </w:rPr>
        <w:t xml:space="preserve">Source: Conducted by the authors (2025) </w:t>
      </w:r>
    </w:p>
    <w:p w:rsidR="00000000" w:rsidDel="00000000" w:rsidP="00000000" w:rsidRDefault="00000000" w:rsidRPr="00000000" w14:paraId="0000003A">
      <w:pPr>
        <w:spacing w:after="288" w:before="48.00000000000001"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H1: </w:t>
      </w:r>
      <w:r w:rsidDel="00000000" w:rsidR="00000000" w:rsidRPr="00000000">
        <w:rPr>
          <w:rFonts w:ascii="Times New Roman" w:cs="Times New Roman" w:eastAsia="Times New Roman" w:hAnsi="Times New Roman"/>
          <w:i w:val="1"/>
          <w:iCs w:val="1"/>
          <w:sz w:val="24"/>
          <w:szCs w:val="24"/>
          <w:rtl w:val="0"/>
        </w:rPr>
        <w:t xml:space="preserve">Academic self-efficacy negatively predicts AI dependence among university students in HCMC. </w:t>
      </w:r>
    </w:p>
    <w:p w:rsidR="00000000" w:rsidDel="00000000" w:rsidP="00000000" w:rsidRDefault="00000000" w:rsidRPr="00000000" w14:paraId="0000003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tend to rely on generative technology for a variety of purposes, including but not limited to solving complex problems, group discussions and debates, personal tutor, practicing tests, etc. (Rahman and Watanobe, 2023). Nevertheless, as Zhang et al. (2024) have drawn out extensively from the self-efficacy theory, they put forward that lower confidence in one’s academic abilities tends to increase reliance on AI systems. This relationship has been supported by a variety of other studies. In an empirical study with 676 Peruvian students, Acosta-Enriquez et al. (2025) found out the direct impact of academic self-efficacy and AI dependency (β = 0.444, p &lt; 0.001), even without mediating factors. In a similar vein, Estrada-Araoz et al. (2025) report a strong inverse correlation (r = -0.299, p &lt; 0.05) between academic self-efficacy and dependence on artificial intelligence.</w:t>
      </w:r>
    </w:p>
    <w:p w:rsidR="00000000" w:rsidDel="00000000" w:rsidP="00000000" w:rsidRDefault="00000000" w:rsidRPr="00000000" w14:paraId="0000003C">
      <w:pPr>
        <w:spacing w:after="288" w:before="48.00000000000001"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H2:</w:t>
      </w:r>
      <w:r w:rsidDel="00000000" w:rsidR="00000000" w:rsidRPr="00000000">
        <w:rPr>
          <w:rFonts w:ascii="Times New Roman" w:cs="Times New Roman" w:eastAsia="Times New Roman" w:hAnsi="Times New Roman"/>
          <w:i w:val="1"/>
          <w:iCs w:val="1"/>
          <w:sz w:val="24"/>
          <w:szCs w:val="24"/>
          <w:rtl w:val="0"/>
        </w:rPr>
        <w:t xml:space="preserve"> Academic self-efficacy positively influences critical thinking among university students in HCMC. </w:t>
      </w:r>
    </w:p>
    <w:p w:rsidR="00000000" w:rsidDel="00000000" w:rsidP="00000000" w:rsidRDefault="00000000" w:rsidRPr="00000000" w14:paraId="0000003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Scholars consistently identify academic self-efficacy as foundational to higher-order reasoning, as confidence in problem-solving and evidence evaluation underpins critical thinking (Dwyer et al., 2017; Gloudemans et al., 2013; Hyytinen et al., 2018). Empirical work confirms a positive association between self-efficacy and critical thinking (Dehghani et al., 2011), though direct causal studies remain limited and often rely on proxies such as metacognition (Vachova et al., 2023). Evidence suggests self-efficacious students apply higher-level learning strategies, including critical thinking (Wang et al., 2008), motivating this study’s focus on the direct effect of academic self-efficacy on critical thinking within AI-rich learning contexts.</w:t>
      </w:r>
    </w:p>
    <w:p w:rsidR="00000000" w:rsidDel="00000000" w:rsidP="00000000" w:rsidRDefault="00000000" w:rsidRPr="00000000" w14:paraId="0000003E">
      <w:pPr>
        <w:spacing w:after="288" w:before="48.00000000000001" w:line="288"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H3:</w:t>
      </w:r>
      <w:r w:rsidDel="00000000" w:rsidR="00000000" w:rsidRPr="00000000">
        <w:rPr>
          <w:rFonts w:ascii="Times New Roman" w:cs="Times New Roman" w:eastAsia="Times New Roman" w:hAnsi="Times New Roman"/>
          <w:i w:val="1"/>
          <w:iCs w:val="1"/>
          <w:sz w:val="24"/>
          <w:szCs w:val="24"/>
          <w:rtl w:val="0"/>
        </w:rPr>
        <w:t xml:space="preserve"> Critical thinking negatively predicts AI dependence among university students in HCMC. </w:t>
      </w:r>
    </w:p>
    <w:p w:rsidR="00000000" w:rsidDel="00000000" w:rsidP="00000000" w:rsidRDefault="00000000" w:rsidRPr="00000000" w14:paraId="0000003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puts forward that critical thinking functions as a regulatory skill that shifts students from unreflective, thoughtless reliance on generative AI technology towards a more reflective and cautious stance. In a large undergraduate sample, higher critical thinking scores significantly offset the likelihood to accept AI outputs at face value (Hou et al., 2025). Similarly, a systematic review posits over-reliance on AI dialogue systems’ decision-making can erode critical thinking capabilities, with risks of AI such as hallucinations, plagiarism and algorithmic biases (Zhai, Wibowo and Li, 2024). Complementary evidence from broader higher-ed research warns plagiarism, bias and transparency issues as dangers through which indiscriminate AI usage significantly undermines authentic inquiry and evaluative judgment (Dogaru et al., 2025). Taken together, prior work predicts a negative association between critical thinking and AI dependence. As such we posit that students with stronger critical thinking exhibit lower dependence on AI.</w:t>
      </w:r>
    </w:p>
    <w:p w:rsidR="00000000" w:rsidDel="00000000" w:rsidP="00000000" w:rsidRDefault="00000000" w:rsidRPr="00000000" w14:paraId="00000040">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H4</w:t>
      </w:r>
      <w:r w:rsidDel="00000000" w:rsidR="00000000" w:rsidRPr="00000000">
        <w:rPr>
          <w:rFonts w:ascii="Times New Roman" w:cs="Times New Roman" w:eastAsia="Times New Roman" w:hAnsi="Times New Roman"/>
          <w:i w:val="1"/>
          <w:iCs w:val="1"/>
          <w:sz w:val="24"/>
          <w:szCs w:val="24"/>
          <w:rtl w:val="0"/>
        </w:rPr>
        <w:t xml:space="preserve">: Critical thinking mediates the relationship between academic self-efficacy and AI dependence among university students in HCMC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studies suggest that academic self-efficacy promotes higher-order cognitive processes such as critical thinking (Dehghani et al., 2011; Wang et al., 2014). At the same time, critical thinking helps students evaluate AI-generated outputs rather than relying on them unreflectively (Hou et al., 2025). Therefore, academic self-efficacy may indirectly reduce AI dependence through the development of stronger critical thinking skills.</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1"/>
          <w:bCs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Research method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center" w:leader="none" w:pos="4253"/>
          <w:tab w:val="right" w:leader="none" w:pos="8505"/>
        </w:tabs>
        <w:spacing w:after="288" w:before="48.00000000000001" w:line="288" w:lineRule="auto"/>
        <w:ind w:left="1440" w:hanging="1440"/>
        <w:rPr>
          <w:rFonts w:ascii="Times New Roman" w:cs="Times New Roman" w:eastAsia="Times New Roman" w:hAnsi="Times New Roman"/>
          <w:b w:val="1"/>
          <w:bCs w:val="1"/>
          <w:i w:val="1"/>
          <w:iCs w:val="1"/>
          <w:color w:val="000000"/>
          <w:sz w:val="24"/>
          <w:szCs w:val="24"/>
        </w:rPr>
      </w:pPr>
      <w:bookmarkStart w:colFirst="0" w:colLast="0" w:name="_heading=h.kjeb6hwnnw0v" w:id="7"/>
      <w:bookmarkEnd w:id="7"/>
      <w:r w:rsidDel="00000000" w:rsidR="00000000" w:rsidRPr="00000000">
        <w:rPr>
          <w:rFonts w:ascii="Times New Roman" w:cs="Times New Roman" w:eastAsia="Times New Roman" w:hAnsi="Times New Roman"/>
          <w:b w:val="1"/>
          <w:bCs w:val="1"/>
          <w:i w:val="1"/>
          <w:iCs w:val="1"/>
          <w:color w:val="000000"/>
          <w:sz w:val="24"/>
          <w:szCs w:val="24"/>
          <w:rtl w:val="0"/>
        </w:rPr>
        <w:t xml:space="preserve">3.1.</w:t>
        <w:tab/>
        <w:t xml:space="preserve"> Research design</w:t>
      </w:r>
    </w:p>
    <w:p w:rsidR="00000000" w:rsidDel="00000000" w:rsidP="00000000" w:rsidRDefault="00000000" w:rsidRPr="00000000" w14:paraId="00000044">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utilizes a quantitative, cross-sectional design. Primary data are gathered using a survey-based method with a self-administered questionnaire. The Structural Equation Modeling (SEM) technique is the primary analytical framework utilized in this study as it enables the simultaneous testing of both measurement validity and structural relationships between latent constructs (Hair et al., 2021).</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3.2. Research data</w:t>
      </w:r>
    </w:p>
    <w:p w:rsidR="00000000" w:rsidDel="00000000" w:rsidP="00000000" w:rsidRDefault="00000000" w:rsidRPr="00000000" w14:paraId="0000004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target population is undergrad students in the universities of HCMC. These students were chosen as they are the most likely to be exposed to AI-supported learning tools, and they are the most relevant group for the study's objective to understand technology-related learning behaviors. Information was gathered through non-probability convenience sampling, chosen because of the limited accessibility and time.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3.3. Questionnaire design</w:t>
      </w:r>
    </w:p>
    <w:p w:rsidR="00000000" w:rsidDel="00000000" w:rsidP="00000000" w:rsidRDefault="00000000" w:rsidRPr="00000000" w14:paraId="0000004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questionnaire had two main parts. The first part measured demographic information, while the second consisted of the three latent constructs of measurement items: ASE, CT, and AID. Each item was rated on a five-point Likert scale from 1 ("Strongly disagree") to 5 ("Strongly agree").</w:t>
      </w:r>
    </w:p>
    <w:p w:rsidR="00000000" w:rsidDel="00000000" w:rsidP="00000000" w:rsidRDefault="00000000" w:rsidRPr="00000000" w14:paraId="0000004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 Questionnaire design and measurement items</w:t>
      </w:r>
    </w:p>
    <w:p w:rsidR="00000000" w:rsidDel="00000000" w:rsidP="00000000" w:rsidRDefault="00000000" w:rsidRPr="00000000" w14:paraId="0000004A">
      <w:pPr>
        <w:spacing w:after="288" w:before="48.00000000000001" w:line="288"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the authors (2025) </w:t>
      </w:r>
    </w:p>
    <w:tbl>
      <w:tblPr>
        <w:tblStyle w:val="Table2"/>
        <w:tblW w:w="9029.0" w:type="dxa"/>
        <w:jc w:val="left"/>
        <w:tblLayout w:type="fixed"/>
        <w:tblLook w:val="0400"/>
      </w:tblPr>
      <w:tblGrid>
        <w:gridCol w:w="1877"/>
        <w:gridCol w:w="4985"/>
        <w:gridCol w:w="2167"/>
        <w:tblGridChange w:id="0">
          <w:tblGrid>
            <w:gridCol w:w="1877"/>
            <w:gridCol w:w="4985"/>
            <w:gridCol w:w="2167"/>
          </w:tblGrid>
        </w:tblGridChange>
      </w:tblGrid>
      <w:tr>
        <w:trPr>
          <w:cantSplit w:val="0"/>
          <w:trHeight w:val="20"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4B">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Variables</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4C">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w:t>
            </w:r>
          </w:p>
        </w:tc>
        <w:tc>
          <w:tcPr>
            <w:tcBorders>
              <w:top w:color="000000" w:space="0" w:sz="12" w:val="single"/>
              <w:left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04D">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Support</w:t>
            </w:r>
          </w:p>
        </w:tc>
      </w:tr>
      <w:tr>
        <w:trPr>
          <w:cantSplit w:val="0"/>
          <w:trHeight w:val="212"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4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dependency</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4F">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feel anxious when I cannot use AI tools for my academic tasks</w:t>
            </w:r>
          </w:p>
        </w:tc>
        <w:tc>
          <w:tcPr>
            <w:vMerge w:val="restart"/>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0">
            <w:pPr>
              <w:spacing w:after="288" w:before="48.00000000000001" w:line="288" w:lineRule="auto"/>
              <w:jc w:val="center"/>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0000ff"/>
                  <w:sz w:val="24"/>
                  <w:szCs w:val="24"/>
                  <w:u w:val="single"/>
                  <w:rtl w:val="0"/>
                </w:rPr>
                <w:t xml:space="preserve">(Zhang et al., 2024)</w:t>
              </w:r>
            </w:hyperlink>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2">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rely excessively on AI to complete my academic assignments</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5">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difficulty performing academic tasks without AI support</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8">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feel the need to use AI with increasing frequency to maintain my academic performance</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5B">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find it difficult to control the time I spend using AI tools</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self - efficacy</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5E">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confident in my ability to understand the most complex concepts presented in class. </w:t>
            </w:r>
          </w:p>
        </w:tc>
        <w:tc>
          <w:tcPr>
            <w:vMerge w:val="restart"/>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5F">
            <w:pPr>
              <w:spacing w:after="288" w:before="48.00000000000001" w:line="288" w:lineRule="auto"/>
              <w:jc w:val="center"/>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0000ff"/>
                  <w:sz w:val="24"/>
                  <w:szCs w:val="24"/>
                  <w:u w:val="single"/>
                  <w:rtl w:val="0"/>
                </w:rPr>
                <w:t xml:space="preserve">(Zhang et al., 2024)</w:t>
              </w:r>
            </w:hyperlink>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1">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certain I can do an excellent job on assignments and examinations.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4">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master the skills being taught in my courses.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7">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confident in my ability to learn course material independently.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A">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successfully complete all assigned tasks regardless of their difficulty.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D">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capable of achieving good academic results through my own merit.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70">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achieve my academic goals even when facing challenges. </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Critical thinking</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3">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carefully analyze information before accepting it as valid</w:t>
            </w:r>
          </w:p>
        </w:tc>
        <w:tc>
          <w:tcPr>
            <w:vMerge w:val="restart"/>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74">
            <w:pPr>
              <w:spacing w:after="288" w:before="48.00000000000001" w:line="288" w:lineRule="auto"/>
              <w:jc w:val="center"/>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0000ff"/>
                  <w:sz w:val="24"/>
                  <w:szCs w:val="24"/>
                  <w:u w:val="single"/>
                  <w:rtl w:val="0"/>
                </w:rPr>
                <w:t xml:space="preserve">(Acosta-Enriquez et al., 2025)</w:t>
              </w:r>
            </w:hyperlink>
            <w:r w:rsidDel="00000000" w:rsidR="00000000" w:rsidRPr="00000000">
              <w:rPr>
                <w:rtl w:val="0"/>
              </w:rPr>
            </w:r>
          </w:p>
        </w:tc>
      </w:tr>
      <w:tr>
        <w:trPr>
          <w:cantSplit w:val="0"/>
          <w:trHeight w:val="42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6">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evaluate different perspectives before reaching a conclusion</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245"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9">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identify the relevance and validity of arguments</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5"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C">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question assumptions and seek evidence to support claims</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11"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F">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develop creative solutions to complex problems</w:t>
            </w:r>
          </w:p>
        </w:tc>
        <w:tc>
          <w:tcPr>
            <w:vMerge w:val="continue"/>
            <w:tcBorders>
              <w:top w:color="000000" w:space="0" w:sz="12" w:val="single"/>
              <w:left w:color="000000" w:space="0" w:sz="0" w:val="nil"/>
            </w:tcBorders>
            <w:tcMar>
              <w:top w:w="100.0" w:type="dxa"/>
              <w:left w:w="100.0" w:type="dxa"/>
              <w:bottom w:w="100.0" w:type="dxa"/>
              <w:right w:w="100.0" w:type="dxa"/>
            </w:tcM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63"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2">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assess different opinions to determine their rationality.</w:t>
            </w:r>
          </w:p>
        </w:tc>
        <w:tc>
          <w:tcPr>
            <w:vMerge w:val="restart"/>
            <w:tcBorders>
              <w:left w:color="000000" w:space="0" w:sz="0" w:val="nil"/>
            </w:tcBorders>
            <w:tcMar>
              <w:top w:w="100.0" w:type="dxa"/>
              <w:left w:w="100.0" w:type="dxa"/>
              <w:bottom w:w="100.0" w:type="dxa"/>
              <w:right w:w="100.0" w:type="dxa"/>
            </w:tcMar>
          </w:tcPr>
          <w:p w:rsidR="00000000" w:rsidDel="00000000" w:rsidP="00000000" w:rsidRDefault="00000000" w:rsidRPr="00000000" w14:paraId="00000083">
            <w:pPr>
              <w:spacing w:after="288" w:before="48.00000000000001" w:line="288" w:lineRule="auto"/>
              <w:jc w:val="center"/>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0000ff"/>
                  <w:sz w:val="24"/>
                  <w:szCs w:val="24"/>
                  <w:u w:val="single"/>
                  <w:rtl w:val="0"/>
                </w:rPr>
                <w:t xml:space="preserve">Jia, Xi-Hui, and Jui-Che Tu (2024)</w:t>
              </w:r>
            </w:hyperlink>
            <w:r w:rsidDel="00000000" w:rsidR="00000000" w:rsidRPr="00000000">
              <w:rPr>
                <w:rtl w:val="0"/>
              </w:rPr>
            </w:r>
          </w:p>
        </w:tc>
      </w:tr>
      <w:tr>
        <w:trPr>
          <w:cantSplit w:val="0"/>
          <w:trHeight w:val="94"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5">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able to discern which information is credible and trustworthy.</w:t>
            </w:r>
          </w:p>
        </w:tc>
        <w:tc>
          <w:tcPr>
            <w:vMerge w:val="continue"/>
            <w:tcBorders>
              <w:left w:color="000000" w:space="0" w:sz="0" w:val="nil"/>
            </w:tcBorders>
            <w:tcMar>
              <w:top w:w="100.0" w:type="dxa"/>
              <w:left w:w="100.0" w:type="dxa"/>
              <w:bottom w:w="100.0" w:type="dxa"/>
              <w:right w:w="100.0" w:type="dxa"/>
            </w:tcM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91"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88">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identify facts that are supported by evidence in the learning process.</w:t>
            </w:r>
          </w:p>
        </w:tc>
        <w:tc>
          <w:tcPr>
            <w:vMerge w:val="continue"/>
            <w:tcBorders>
              <w:left w:color="000000" w:space="0" w:sz="0" w:val="nil"/>
            </w:tcBorders>
            <w:tcMar>
              <w:top w:w="100.0" w:type="dxa"/>
              <w:left w:w="100.0" w:type="dxa"/>
              <w:bottom w:w="100.0" w:type="dxa"/>
              <w:right w:w="100.0" w:type="dxa"/>
            </w:tcM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A">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1"/>
          <w:bCs w:val="1"/>
          <w:smallCaps w:val="0"/>
          <w:strike w:val="0"/>
          <w:sz w:val="24"/>
          <w:szCs w:val="24"/>
          <w:u w:val="none"/>
          <w:shd w:fill="auto" w:val="clear"/>
          <w:vertAlign w:val="baseline"/>
        </w:rPr>
      </w:pPr>
      <w:bookmarkStart w:colFirst="0" w:colLast="0" w:name="_heading=h.2if1qmb4l2xr" w:id="8"/>
      <w:bookmarkEnd w:id="8"/>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Results and discussion</w:t>
      </w:r>
    </w:p>
    <w:p w:rsidR="00000000" w:rsidDel="00000000" w:rsidP="00000000" w:rsidRDefault="00000000" w:rsidRPr="00000000" w14:paraId="0000008C">
      <w:pPr>
        <w:pStyle w:val="Heading3"/>
        <w:spacing w:after="288" w:before="48.00000000000001" w:line="288" w:lineRule="auto"/>
        <w:ind w:right="2"/>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4.1.</w:t>
        <w:tab/>
        <w:t xml:space="preserve">Results</w:t>
      </w:r>
    </w:p>
    <w:p w:rsidR="00000000" w:rsidDel="00000000" w:rsidP="00000000" w:rsidRDefault="00000000" w:rsidRPr="00000000" w14:paraId="0000008D">
      <w:pPr>
        <w:pStyle w:val="Heading3"/>
        <w:spacing w:after="288" w:before="48.00000000000001" w:line="288" w:lineRule="auto"/>
        <w:ind w:right="2"/>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4.1.1.</w:t>
        <w:tab/>
        <w:t xml:space="preserve">Descriptive statistics</w:t>
      </w:r>
      <w:r w:rsidDel="00000000" w:rsidR="00000000" w:rsidRPr="00000000">
        <w:rPr>
          <w:rtl w:val="0"/>
        </w:rPr>
      </w:r>
    </w:p>
    <w:p w:rsidR="00000000" w:rsidDel="00000000" w:rsidP="00000000" w:rsidRDefault="00000000" w:rsidRPr="00000000" w14:paraId="0000008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 Sample statistics by demographics</w:t>
      </w:r>
    </w:p>
    <w:p w:rsidR="00000000" w:rsidDel="00000000" w:rsidP="00000000" w:rsidRDefault="00000000" w:rsidRPr="00000000" w14:paraId="0000008F">
      <w:pPr>
        <w:spacing w:after="288" w:before="48.00000000000001" w:line="288"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p>
    <w:tbl>
      <w:tblPr>
        <w:tblStyle w:val="Table3"/>
        <w:tblW w:w="9015.0" w:type="dxa"/>
        <w:jc w:val="left"/>
        <w:tblLayout w:type="fixed"/>
        <w:tblLook w:val="0600"/>
      </w:tblPr>
      <w:tblGrid>
        <w:gridCol w:w="1560"/>
        <w:gridCol w:w="4530"/>
        <w:gridCol w:w="1455"/>
        <w:gridCol w:w="1470"/>
        <w:tblGridChange w:id="0">
          <w:tblGrid>
            <w:gridCol w:w="1560"/>
            <w:gridCol w:w="4530"/>
            <w:gridCol w:w="1455"/>
            <w:gridCol w:w="1470"/>
          </w:tblGrid>
        </w:tblGridChange>
      </w:tblGrid>
      <w:tr>
        <w:trPr>
          <w:cantSplit w:val="0"/>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Category</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Frequency</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Percentage</w:t>
            </w:r>
          </w:p>
        </w:tc>
      </w:tr>
      <w:tr>
        <w:trPr>
          <w:cantSplit w:val="0"/>
          <w:trHeight w:val="44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61.2%</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 </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38.8%</w:t>
            </w:r>
          </w:p>
        </w:tc>
      </w:tr>
      <w:tr>
        <w:trPr>
          <w:cantSplit w:val="0"/>
          <w:trHeight w:val="44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18 years old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18 to 22 years old </w:t>
            </w:r>
          </w:p>
        </w:tc>
        <w:tc>
          <w:tcP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288</w:t>
            </w:r>
          </w:p>
        </w:tc>
        <w:tc>
          <w:tcPr>
            <w:tcMar>
              <w:top w:w="100.0" w:type="dxa"/>
              <w:left w:w="100.0" w:type="dxa"/>
              <w:bottom w:w="100.0" w:type="dxa"/>
              <w:right w:w="100.0" w:type="dxa"/>
            </w:tcMar>
          </w:tcPr>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96.3%</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Above 22 years old </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4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year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Freshman year</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24.4%</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Sophomore year</w:t>
            </w:r>
          </w:p>
        </w:tc>
        <w:tc>
          <w:tcP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w:t>
            </w:r>
          </w:p>
        </w:tc>
        <w:tc>
          <w:tcP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Junior year</w:t>
            </w:r>
          </w:p>
        </w:tc>
        <w:tc>
          <w:tcP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c>
          <w:tcP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35.1%</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 year</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w:t>
            </w:r>
          </w:p>
        </w:tc>
      </w:tr>
      <w:tr>
        <w:trPr>
          <w:cantSplit w:val="0"/>
          <w:trHeight w:val="440" w:hRule="atLeast"/>
          <w:tblHeader w:val="0"/>
        </w:trPr>
        <w:tc>
          <w:tcPr>
            <w:vMerge w:val="restart"/>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Foreign Trade University HCMC Campus</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Economics Ho Chi Minh City</w:t>
            </w:r>
          </w:p>
        </w:tc>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Banking University of Ho Chi Minh City</w:t>
            </w:r>
          </w:p>
        </w:tc>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 Chi Minh City University of Technology</w:t>
            </w:r>
          </w:p>
        </w:tc>
        <w:tc>
          <w:tcP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Mar>
              <w:top w:w="100.0" w:type="dxa"/>
              <w:left w:w="100.0" w:type="dxa"/>
              <w:bottom w:w="100.0" w:type="dxa"/>
              <w:right w:w="100.0" w:type="dxa"/>
            </w:tcMar>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p>
        </w:tc>
      </w:tr>
      <w:tr>
        <w:trPr>
          <w:cantSplit w:val="0"/>
          <w:trHeight w:val="440" w:hRule="atLeast"/>
          <w:tblHeader w:val="0"/>
        </w:trPr>
        <w:tc>
          <w:tcPr>
            <w:vMerge w:val="continue"/>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Others </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38,4%</w:t>
            </w:r>
          </w:p>
        </w:tc>
      </w:tr>
    </w:tbl>
    <w:p w:rsidR="00000000" w:rsidDel="00000000" w:rsidP="00000000" w:rsidRDefault="00000000" w:rsidRPr="00000000" w14:paraId="000000CC">
      <w:pPr>
        <w:spacing w:after="288" w:before="48.00000000000001" w:line="288" w:lineRule="auto"/>
        <w:ind w:firstLine="72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C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sample included 299 undergraduate students, comprising 116 males (38.8%) and 183 females (61.2%). Most participants were aged 18-22 (96.3%). Academic year distribution was balanced, with 24.4% freshmen, 22.1% sophomores, 35.1% juniors, and 18.4% seniors. Students represented multiple universities and majors, enhancing sample diversity. Descriptive statistics showed generally positive responses, with mean scores ranging from 3.49-3.80 for academic self-efficacy, 3.45-3.93 for critical thinking, and 3.23-3.53 for AI dependence. Standard deviations were moderate (0.83-1.25), with no missing data.</w:t>
      </w:r>
    </w:p>
    <w:p w:rsidR="00000000" w:rsidDel="00000000" w:rsidP="00000000" w:rsidRDefault="00000000" w:rsidRPr="00000000" w14:paraId="000000C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3. Sample descriptive metrics</w:t>
      </w:r>
    </w:p>
    <w:p w:rsidR="00000000" w:rsidDel="00000000" w:rsidP="00000000" w:rsidRDefault="00000000" w:rsidRPr="00000000" w14:paraId="000000CF">
      <w:pPr>
        <w:spacing w:after="288" w:before="48.00000000000001" w:line="288"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p>
    <w:tbl>
      <w:tblPr>
        <w:tblStyle w:val="Table4"/>
        <w:tblW w:w="9497.0" w:type="dxa"/>
        <w:jc w:val="left"/>
        <w:tblInd w:w="136.0" w:type="dxa"/>
        <w:tblBorders>
          <w:top w:color="000000" w:space="0" w:sz="4" w:val="single"/>
          <w:bottom w:color="000000" w:space="0" w:sz="4" w:val="single"/>
        </w:tblBorders>
        <w:tblLayout w:type="fixed"/>
        <w:tblLook w:val="0600"/>
      </w:tblPr>
      <w:tblGrid>
        <w:gridCol w:w="1559"/>
        <w:gridCol w:w="993"/>
        <w:gridCol w:w="1134"/>
        <w:gridCol w:w="1417"/>
        <w:gridCol w:w="1418"/>
        <w:gridCol w:w="1417"/>
        <w:gridCol w:w="1559"/>
        <w:tblGridChange w:id="0">
          <w:tblGrid>
            <w:gridCol w:w="1559"/>
            <w:gridCol w:w="993"/>
            <w:gridCol w:w="1134"/>
            <w:gridCol w:w="1417"/>
            <w:gridCol w:w="1418"/>
            <w:gridCol w:w="1417"/>
            <w:gridCol w:w="1559"/>
          </w:tblGrid>
        </w:tblGridChange>
      </w:tblGrid>
      <w:tr>
        <w:trPr>
          <w:cantSplit w:val="0"/>
          <w:trHeight w:val="1140" w:hRule="atLeast"/>
          <w:tblHeader w:val="0"/>
        </w:trPr>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Name</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Mean</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Median</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Observed min</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Observed max</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Standard deviation</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0D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Skewness</w:t>
            </w:r>
            <w:r w:rsidDel="00000000" w:rsidR="00000000" w:rsidRPr="00000000">
              <w:rPr>
                <w:rtl w:val="0"/>
              </w:rPr>
            </w:r>
          </w:p>
        </w:tc>
      </w:tr>
      <w:tr>
        <w:trPr>
          <w:cantSplit w:val="0"/>
          <w:trHeight w:val="300" w:hRule="atLeast"/>
          <w:tblHeader w:val="0"/>
        </w:trPr>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ase1</w:t>
            </w:r>
            <w:r w:rsidDel="00000000" w:rsidR="00000000" w:rsidRPr="00000000">
              <w:rPr>
                <w:rtl w:val="0"/>
              </w:rPr>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3.625</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0.889</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0D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-0.427</w:t>
            </w:r>
          </w:p>
        </w:tc>
      </w:tr>
      <w:tr>
        <w:trPr>
          <w:cantSplit w:val="0"/>
          <w:trHeight w:val="300" w:hRule="atLeast"/>
          <w:tblHeader w:val="0"/>
        </w:trPr>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D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ase2</w:t>
            </w:r>
            <w:r w:rsidDel="00000000" w:rsidR="00000000" w:rsidRPr="00000000">
              <w:rPr>
                <w:rtl w:val="0"/>
              </w:rPr>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D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3.783</w:t>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E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E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E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E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0.948</w:t>
            </w:r>
          </w:p>
        </w:tc>
        <w:tc>
          <w:tcPr>
            <w:tcBorders>
              <w:top w:color="000000" w:space="0" w:sz="0" w:val="nil"/>
            </w:tcBorders>
            <w:tcMar>
              <w:top w:w="0.0" w:type="dxa"/>
              <w:left w:w="120.0" w:type="dxa"/>
              <w:bottom w:w="0.0" w:type="dxa"/>
              <w:right w:w="120.0" w:type="dxa"/>
            </w:tcMar>
          </w:tcPr>
          <w:p w:rsidR="00000000" w:rsidDel="00000000" w:rsidP="00000000" w:rsidRDefault="00000000" w:rsidRPr="00000000" w14:paraId="000000E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-0.523</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0E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ase3</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E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3.492</w:t>
            </w:r>
          </w:p>
        </w:tc>
        <w:tc>
          <w:tcPr>
            <w:tcMar>
              <w:top w:w="0.0" w:type="dxa"/>
              <w:left w:w="120.0" w:type="dxa"/>
              <w:bottom w:w="0.0" w:type="dxa"/>
              <w:right w:w="120.0" w:type="dxa"/>
            </w:tcMar>
          </w:tcPr>
          <w:p w:rsidR="00000000" w:rsidDel="00000000" w:rsidP="00000000" w:rsidRDefault="00000000" w:rsidRPr="00000000" w14:paraId="000000E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tcMar>
              <w:top w:w="0.0" w:type="dxa"/>
              <w:left w:w="120.0" w:type="dxa"/>
              <w:bottom w:w="0.0" w:type="dxa"/>
              <w:right w:w="120.0" w:type="dxa"/>
            </w:tcMar>
          </w:tcPr>
          <w:p w:rsidR="00000000" w:rsidDel="00000000" w:rsidP="00000000" w:rsidRDefault="00000000" w:rsidRPr="00000000" w14:paraId="000000E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0E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0E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c>
          <w:tcPr>
            <w:tcMar>
              <w:top w:w="0.0" w:type="dxa"/>
              <w:left w:w="120.0" w:type="dxa"/>
              <w:bottom w:w="0.0" w:type="dxa"/>
              <w:right w:w="120.0" w:type="dxa"/>
            </w:tcMar>
          </w:tcPr>
          <w:p w:rsidR="00000000" w:rsidDel="00000000" w:rsidP="00000000" w:rsidRDefault="00000000" w:rsidRPr="00000000" w14:paraId="000000E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-0.100</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0E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ase4</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E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3.753</w:t>
            </w:r>
          </w:p>
        </w:tc>
        <w:tc>
          <w:tcPr>
            <w:tcMar>
              <w:top w:w="0.0" w:type="dxa"/>
              <w:left w:w="120.0" w:type="dxa"/>
              <w:bottom w:w="0.0" w:type="dxa"/>
              <w:right w:w="120.0" w:type="dxa"/>
            </w:tcMar>
          </w:tcPr>
          <w:p w:rsidR="00000000" w:rsidDel="00000000" w:rsidP="00000000" w:rsidRDefault="00000000" w:rsidRPr="00000000" w14:paraId="000000E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0E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0F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0F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0.906</w:t>
            </w:r>
          </w:p>
        </w:tc>
        <w:tc>
          <w:tcPr>
            <w:tcMar>
              <w:top w:w="0.0" w:type="dxa"/>
              <w:left w:w="120.0" w:type="dxa"/>
              <w:bottom w:w="0.0" w:type="dxa"/>
              <w:right w:w="120.0" w:type="dxa"/>
            </w:tcMar>
          </w:tcPr>
          <w:p w:rsidR="00000000" w:rsidDel="00000000" w:rsidP="00000000" w:rsidRDefault="00000000" w:rsidRPr="00000000" w14:paraId="000000F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-0.546</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0F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ase5</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F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3.535</w:t>
            </w:r>
          </w:p>
        </w:tc>
        <w:tc>
          <w:tcPr>
            <w:tcMar>
              <w:top w:w="0.0" w:type="dxa"/>
              <w:left w:w="120.0" w:type="dxa"/>
              <w:bottom w:w="0.0" w:type="dxa"/>
              <w:right w:w="120.0" w:type="dxa"/>
            </w:tcMar>
          </w:tcPr>
          <w:p w:rsidR="00000000" w:rsidDel="00000000" w:rsidP="00000000" w:rsidRDefault="00000000" w:rsidRPr="00000000" w14:paraId="000000F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0F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0F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0F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1.002</w:t>
            </w:r>
          </w:p>
        </w:tc>
        <w:tc>
          <w:tcPr>
            <w:tcMar>
              <w:top w:w="0.0" w:type="dxa"/>
              <w:left w:w="120.0" w:type="dxa"/>
              <w:bottom w:w="0.0" w:type="dxa"/>
              <w:right w:w="120.0" w:type="dxa"/>
            </w:tcMar>
          </w:tcPr>
          <w:p w:rsidR="00000000" w:rsidDel="00000000" w:rsidP="00000000" w:rsidRDefault="00000000" w:rsidRPr="00000000" w14:paraId="000000F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-0.227</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0F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ase6</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F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3.803</w:t>
            </w:r>
          </w:p>
        </w:tc>
        <w:tc>
          <w:tcPr>
            <w:tcMar>
              <w:top w:w="0.0" w:type="dxa"/>
              <w:left w:w="120.0" w:type="dxa"/>
              <w:bottom w:w="0.0" w:type="dxa"/>
              <w:right w:w="120.0" w:type="dxa"/>
            </w:tcMar>
          </w:tcPr>
          <w:p w:rsidR="00000000" w:rsidDel="00000000" w:rsidP="00000000" w:rsidRDefault="00000000" w:rsidRPr="00000000" w14:paraId="000000F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0F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0F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0F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0.902</w:t>
            </w:r>
          </w:p>
        </w:tc>
        <w:tc>
          <w:tcPr>
            <w:tcMar>
              <w:top w:w="0.0" w:type="dxa"/>
              <w:left w:w="120.0" w:type="dxa"/>
              <w:bottom w:w="0.0" w:type="dxa"/>
              <w:right w:w="120.0" w:type="dxa"/>
            </w:tcMar>
          </w:tcPr>
          <w:p w:rsidR="00000000" w:rsidDel="00000000" w:rsidP="00000000" w:rsidRDefault="00000000" w:rsidRPr="00000000" w14:paraId="0000010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-0.369</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0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ase7</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0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3.495</w:t>
            </w:r>
          </w:p>
        </w:tc>
        <w:tc>
          <w:tcPr>
            <w:tcMar>
              <w:top w:w="0.0" w:type="dxa"/>
              <w:left w:w="120.0" w:type="dxa"/>
              <w:bottom w:w="0.0" w:type="dxa"/>
              <w:right w:w="120.0" w:type="dxa"/>
            </w:tcMar>
          </w:tcPr>
          <w:p w:rsidR="00000000" w:rsidDel="00000000" w:rsidP="00000000" w:rsidRDefault="00000000" w:rsidRPr="00000000" w14:paraId="0000010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tcMar>
              <w:top w:w="0.0" w:type="dxa"/>
              <w:left w:w="120.0" w:type="dxa"/>
              <w:bottom w:w="0.0" w:type="dxa"/>
              <w:right w:w="120.0" w:type="dxa"/>
            </w:tcMar>
          </w:tcPr>
          <w:p w:rsidR="00000000" w:rsidDel="00000000" w:rsidP="00000000" w:rsidRDefault="00000000" w:rsidRPr="00000000" w14:paraId="0000010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0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0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0.966</w:t>
            </w:r>
          </w:p>
        </w:tc>
        <w:tc>
          <w:tcPr>
            <w:tcMar>
              <w:top w:w="0.0" w:type="dxa"/>
              <w:left w:w="120.0" w:type="dxa"/>
              <w:bottom w:w="0.0" w:type="dxa"/>
              <w:right w:w="120.0" w:type="dxa"/>
            </w:tcMar>
          </w:tcPr>
          <w:p w:rsidR="00000000" w:rsidDel="00000000" w:rsidP="00000000" w:rsidRDefault="00000000" w:rsidRPr="00000000" w14:paraId="0000010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-0.232</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0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ct1</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0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3.886</w:t>
            </w:r>
          </w:p>
        </w:tc>
        <w:tc>
          <w:tcPr>
            <w:tcMar>
              <w:top w:w="0.0" w:type="dxa"/>
              <w:left w:w="120.0" w:type="dxa"/>
              <w:bottom w:w="0.0" w:type="dxa"/>
              <w:right w:w="120.0" w:type="dxa"/>
            </w:tcMar>
          </w:tcPr>
          <w:p w:rsidR="00000000" w:rsidDel="00000000" w:rsidP="00000000" w:rsidRDefault="00000000" w:rsidRPr="00000000" w14:paraId="0000010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0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0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0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0.830</w:t>
            </w:r>
          </w:p>
        </w:tc>
        <w:tc>
          <w:tcPr>
            <w:tcMar>
              <w:top w:w="0.0" w:type="dxa"/>
              <w:left w:w="120.0" w:type="dxa"/>
              <w:bottom w:w="0.0" w:type="dxa"/>
              <w:right w:w="120.0" w:type="dxa"/>
            </w:tcMar>
          </w:tcPr>
          <w:p w:rsidR="00000000" w:rsidDel="00000000" w:rsidP="00000000" w:rsidRDefault="00000000" w:rsidRPr="00000000" w14:paraId="0000010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-0.630</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0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ct2</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1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3.926</w:t>
            </w:r>
          </w:p>
        </w:tc>
        <w:tc>
          <w:tcPr>
            <w:tcMar>
              <w:top w:w="0.0" w:type="dxa"/>
              <w:left w:w="120.0" w:type="dxa"/>
              <w:bottom w:w="0.0" w:type="dxa"/>
              <w:right w:w="120.0" w:type="dxa"/>
            </w:tcMar>
          </w:tcPr>
          <w:p w:rsidR="00000000" w:rsidDel="00000000" w:rsidP="00000000" w:rsidRDefault="00000000" w:rsidRPr="00000000" w14:paraId="0000011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1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1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1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0.878</w:t>
            </w:r>
          </w:p>
        </w:tc>
        <w:tc>
          <w:tcPr>
            <w:tcMar>
              <w:top w:w="0.0" w:type="dxa"/>
              <w:left w:w="120.0" w:type="dxa"/>
              <w:bottom w:w="0.0" w:type="dxa"/>
              <w:right w:w="120.0" w:type="dxa"/>
            </w:tcMar>
          </w:tcPr>
          <w:p w:rsidR="00000000" w:rsidDel="00000000" w:rsidP="00000000" w:rsidRDefault="00000000" w:rsidRPr="00000000" w14:paraId="0000011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-0.631</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1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ct3</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1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3.753</w:t>
            </w:r>
          </w:p>
        </w:tc>
        <w:tc>
          <w:tcPr>
            <w:tcMar>
              <w:top w:w="0.0" w:type="dxa"/>
              <w:left w:w="120.0" w:type="dxa"/>
              <w:bottom w:w="0.0" w:type="dxa"/>
              <w:right w:w="120.0" w:type="dxa"/>
            </w:tcMar>
          </w:tcPr>
          <w:p w:rsidR="00000000" w:rsidDel="00000000" w:rsidP="00000000" w:rsidRDefault="00000000" w:rsidRPr="00000000" w14:paraId="0000011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1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1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1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0.876</w:t>
            </w:r>
          </w:p>
        </w:tc>
        <w:tc>
          <w:tcPr>
            <w:tcMar>
              <w:top w:w="0.0" w:type="dxa"/>
              <w:left w:w="120.0" w:type="dxa"/>
              <w:bottom w:w="0.0" w:type="dxa"/>
              <w:right w:w="120.0" w:type="dxa"/>
            </w:tcMar>
          </w:tcPr>
          <w:p w:rsidR="00000000" w:rsidDel="00000000" w:rsidP="00000000" w:rsidRDefault="00000000" w:rsidRPr="00000000" w14:paraId="0000011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-0.214</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1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ct4</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1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3.676</w:t>
            </w:r>
          </w:p>
        </w:tc>
        <w:tc>
          <w:tcPr>
            <w:tcMar>
              <w:top w:w="0.0" w:type="dxa"/>
              <w:left w:w="120.0" w:type="dxa"/>
              <w:bottom w:w="0.0" w:type="dxa"/>
              <w:right w:w="120.0" w:type="dxa"/>
            </w:tcMar>
          </w:tcPr>
          <w:p w:rsidR="00000000" w:rsidDel="00000000" w:rsidP="00000000" w:rsidRDefault="00000000" w:rsidRPr="00000000" w14:paraId="0000011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2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2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2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0.888</w:t>
            </w:r>
          </w:p>
        </w:tc>
        <w:tc>
          <w:tcPr>
            <w:tcMar>
              <w:top w:w="0.0" w:type="dxa"/>
              <w:left w:w="120.0" w:type="dxa"/>
              <w:bottom w:w="0.0" w:type="dxa"/>
              <w:right w:w="120.0" w:type="dxa"/>
            </w:tcMar>
          </w:tcPr>
          <w:p w:rsidR="00000000" w:rsidDel="00000000" w:rsidP="00000000" w:rsidRDefault="00000000" w:rsidRPr="00000000" w14:paraId="0000012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-0.325</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2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ct5</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2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3.452</w:t>
            </w:r>
          </w:p>
        </w:tc>
        <w:tc>
          <w:tcPr>
            <w:tcMar>
              <w:top w:w="0.0" w:type="dxa"/>
              <w:left w:w="120.0" w:type="dxa"/>
              <w:bottom w:w="0.0" w:type="dxa"/>
              <w:right w:w="120.0" w:type="dxa"/>
            </w:tcMar>
          </w:tcPr>
          <w:p w:rsidR="00000000" w:rsidDel="00000000" w:rsidP="00000000" w:rsidRDefault="00000000" w:rsidRPr="00000000" w14:paraId="0000012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tcMar>
              <w:top w:w="0.0" w:type="dxa"/>
              <w:left w:w="120.0" w:type="dxa"/>
              <w:bottom w:w="0.0" w:type="dxa"/>
              <w:right w:w="120.0" w:type="dxa"/>
            </w:tcMar>
          </w:tcPr>
          <w:p w:rsidR="00000000" w:rsidDel="00000000" w:rsidP="00000000" w:rsidRDefault="00000000" w:rsidRPr="00000000" w14:paraId="0000012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2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2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0.971</w:t>
            </w:r>
          </w:p>
        </w:tc>
        <w:tc>
          <w:tcPr>
            <w:tcMar>
              <w:top w:w="0.0" w:type="dxa"/>
              <w:left w:w="120.0" w:type="dxa"/>
              <w:bottom w:w="0.0" w:type="dxa"/>
              <w:right w:w="120.0" w:type="dxa"/>
            </w:tcMar>
          </w:tcPr>
          <w:p w:rsidR="00000000" w:rsidDel="00000000" w:rsidP="00000000" w:rsidRDefault="00000000" w:rsidRPr="00000000" w14:paraId="0000012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-0.303</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2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ct6</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2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3.913</w:t>
            </w:r>
          </w:p>
        </w:tc>
        <w:tc>
          <w:tcPr>
            <w:tcMar>
              <w:top w:w="0.0" w:type="dxa"/>
              <w:left w:w="120.0" w:type="dxa"/>
              <w:bottom w:w="0.0" w:type="dxa"/>
              <w:right w:w="120.0" w:type="dxa"/>
            </w:tcMar>
          </w:tcPr>
          <w:p w:rsidR="00000000" w:rsidDel="00000000" w:rsidP="00000000" w:rsidRDefault="00000000" w:rsidRPr="00000000" w14:paraId="0000012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2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2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3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0.861</w:t>
            </w:r>
          </w:p>
        </w:tc>
        <w:tc>
          <w:tcPr>
            <w:tcMar>
              <w:top w:w="0.0" w:type="dxa"/>
              <w:left w:w="120.0" w:type="dxa"/>
              <w:bottom w:w="0.0" w:type="dxa"/>
              <w:right w:w="120.0" w:type="dxa"/>
            </w:tcMar>
          </w:tcPr>
          <w:p w:rsidR="00000000" w:rsidDel="00000000" w:rsidP="00000000" w:rsidRDefault="00000000" w:rsidRPr="00000000" w14:paraId="0000013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-0.558</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3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ct7</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3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3.786</w:t>
            </w:r>
          </w:p>
        </w:tc>
        <w:tc>
          <w:tcPr>
            <w:tcMar>
              <w:top w:w="0.0" w:type="dxa"/>
              <w:left w:w="120.0" w:type="dxa"/>
              <w:bottom w:w="0.0" w:type="dxa"/>
              <w:right w:w="120.0" w:type="dxa"/>
            </w:tcMar>
          </w:tcPr>
          <w:p w:rsidR="00000000" w:rsidDel="00000000" w:rsidP="00000000" w:rsidRDefault="00000000" w:rsidRPr="00000000" w14:paraId="0000013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3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3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3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0.889</w:t>
            </w:r>
          </w:p>
        </w:tc>
        <w:tc>
          <w:tcPr>
            <w:tcMar>
              <w:top w:w="0.0" w:type="dxa"/>
              <w:left w:w="120.0" w:type="dxa"/>
              <w:bottom w:w="0.0" w:type="dxa"/>
              <w:right w:w="120.0" w:type="dxa"/>
            </w:tcMar>
          </w:tcPr>
          <w:p w:rsidR="00000000" w:rsidDel="00000000" w:rsidP="00000000" w:rsidRDefault="00000000" w:rsidRPr="00000000" w14:paraId="0000013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-0.255</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3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ct8</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3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3.846</w:t>
            </w:r>
          </w:p>
        </w:tc>
        <w:tc>
          <w:tcPr>
            <w:tcMar>
              <w:top w:w="0.0" w:type="dxa"/>
              <w:left w:w="120.0" w:type="dxa"/>
              <w:bottom w:w="0.0" w:type="dxa"/>
              <w:right w:w="120.0" w:type="dxa"/>
            </w:tcMar>
          </w:tcPr>
          <w:p w:rsidR="00000000" w:rsidDel="00000000" w:rsidP="00000000" w:rsidRDefault="00000000" w:rsidRPr="00000000" w14:paraId="0000013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3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3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3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0.871</w:t>
            </w:r>
          </w:p>
        </w:tc>
        <w:tc>
          <w:tcPr>
            <w:tcMar>
              <w:top w:w="0.0" w:type="dxa"/>
              <w:left w:w="120.0" w:type="dxa"/>
              <w:bottom w:w="0.0" w:type="dxa"/>
              <w:right w:w="120.0" w:type="dxa"/>
            </w:tcMar>
          </w:tcPr>
          <w:p w:rsidR="00000000" w:rsidDel="00000000" w:rsidP="00000000" w:rsidRDefault="00000000" w:rsidRPr="00000000" w14:paraId="0000013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-0.428</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4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aid1</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4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3.525</w:t>
            </w:r>
          </w:p>
        </w:tc>
        <w:tc>
          <w:tcPr>
            <w:tcMar>
              <w:top w:w="0.0" w:type="dxa"/>
              <w:left w:w="120.0" w:type="dxa"/>
              <w:bottom w:w="0.0" w:type="dxa"/>
              <w:right w:w="120.0" w:type="dxa"/>
            </w:tcMar>
          </w:tcPr>
          <w:p w:rsidR="00000000" w:rsidDel="00000000" w:rsidP="00000000" w:rsidRDefault="00000000" w:rsidRPr="00000000" w14:paraId="0000014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4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4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45">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1.177</w:t>
            </w:r>
          </w:p>
        </w:tc>
        <w:tc>
          <w:tcPr>
            <w:tcMar>
              <w:top w:w="0.0" w:type="dxa"/>
              <w:left w:w="120.0" w:type="dxa"/>
              <w:bottom w:w="0.0" w:type="dxa"/>
              <w:right w:w="120.0" w:type="dxa"/>
            </w:tcMar>
          </w:tcPr>
          <w:p w:rsidR="00000000" w:rsidDel="00000000" w:rsidP="00000000" w:rsidRDefault="00000000" w:rsidRPr="00000000" w14:paraId="0000014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-0.666</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4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aid2</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4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3.462</w:t>
            </w:r>
          </w:p>
        </w:tc>
        <w:tc>
          <w:tcPr>
            <w:tcMar>
              <w:top w:w="0.0" w:type="dxa"/>
              <w:left w:w="120.0" w:type="dxa"/>
              <w:bottom w:w="0.0" w:type="dxa"/>
              <w:right w:w="120.0" w:type="dxa"/>
            </w:tcMar>
          </w:tcPr>
          <w:p w:rsidR="00000000" w:rsidDel="00000000" w:rsidP="00000000" w:rsidRDefault="00000000" w:rsidRPr="00000000" w14:paraId="0000014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4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4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4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1.251</w:t>
            </w:r>
          </w:p>
        </w:tc>
        <w:tc>
          <w:tcPr>
            <w:tcMar>
              <w:top w:w="0.0" w:type="dxa"/>
              <w:left w:w="120.0" w:type="dxa"/>
              <w:bottom w:w="0.0" w:type="dxa"/>
              <w:right w:w="120.0" w:type="dxa"/>
            </w:tcMar>
          </w:tcPr>
          <w:p w:rsidR="00000000" w:rsidDel="00000000" w:rsidP="00000000" w:rsidRDefault="00000000" w:rsidRPr="00000000" w14:paraId="0000014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-0.452</w:t>
            </w:r>
          </w:p>
        </w:tc>
      </w:tr>
      <w:tr>
        <w:trPr>
          <w:cantSplit w:val="0"/>
          <w:trHeight w:val="300" w:hRule="atLeast"/>
          <w:tblHeader w:val="0"/>
        </w:trPr>
        <w:tc>
          <w:tcPr>
            <w:tcMar>
              <w:top w:w="0.0" w:type="dxa"/>
              <w:left w:w="120.0" w:type="dxa"/>
              <w:bottom w:w="0.0" w:type="dxa"/>
              <w:right w:w="120.0" w:type="dxa"/>
            </w:tcMar>
          </w:tcPr>
          <w:p w:rsidR="00000000" w:rsidDel="00000000" w:rsidP="00000000" w:rsidRDefault="00000000" w:rsidRPr="00000000" w14:paraId="0000014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aid3</w:t>
            </w: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14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3.381</w:t>
            </w:r>
          </w:p>
        </w:tc>
        <w:tc>
          <w:tcPr>
            <w:tcMar>
              <w:top w:w="0.0" w:type="dxa"/>
              <w:left w:w="120.0" w:type="dxa"/>
              <w:bottom w:w="0.0" w:type="dxa"/>
              <w:right w:w="120.0" w:type="dxa"/>
            </w:tcMar>
          </w:tcPr>
          <w:p w:rsidR="00000000" w:rsidDel="00000000" w:rsidP="00000000" w:rsidRDefault="00000000" w:rsidRPr="00000000" w14:paraId="0000015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c>
          <w:tcPr>
            <w:tcMar>
              <w:top w:w="0.0" w:type="dxa"/>
              <w:left w:w="120.0" w:type="dxa"/>
              <w:bottom w:w="0.0" w:type="dxa"/>
              <w:right w:w="120.0" w:type="dxa"/>
            </w:tcMar>
          </w:tcPr>
          <w:p w:rsidR="00000000" w:rsidDel="00000000" w:rsidP="00000000" w:rsidRDefault="00000000" w:rsidRPr="00000000" w14:paraId="0000015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Mar>
              <w:top w:w="0.0" w:type="dxa"/>
              <w:left w:w="120.0" w:type="dxa"/>
              <w:bottom w:w="0.0" w:type="dxa"/>
              <w:right w:w="120.0" w:type="dxa"/>
            </w:tcMar>
          </w:tcPr>
          <w:p w:rsidR="00000000" w:rsidDel="00000000" w:rsidP="00000000" w:rsidRDefault="00000000" w:rsidRPr="00000000" w14:paraId="0000015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Mar>
              <w:top w:w="0.0" w:type="dxa"/>
              <w:left w:w="120.0" w:type="dxa"/>
              <w:bottom w:w="0.0" w:type="dxa"/>
              <w:right w:w="120.0" w:type="dxa"/>
            </w:tcMar>
          </w:tcPr>
          <w:p w:rsidR="00000000" w:rsidDel="00000000" w:rsidP="00000000" w:rsidRDefault="00000000" w:rsidRPr="00000000" w14:paraId="00000153">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1.149</w:t>
            </w:r>
          </w:p>
        </w:tc>
        <w:tc>
          <w:tcPr>
            <w:tcMar>
              <w:top w:w="0.0" w:type="dxa"/>
              <w:left w:w="120.0" w:type="dxa"/>
              <w:bottom w:w="0.0" w:type="dxa"/>
              <w:right w:w="120.0" w:type="dxa"/>
            </w:tcMar>
          </w:tcPr>
          <w:p w:rsidR="00000000" w:rsidDel="00000000" w:rsidP="00000000" w:rsidRDefault="00000000" w:rsidRPr="00000000" w14:paraId="00000154">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-0.505</w:t>
            </w:r>
          </w:p>
        </w:tc>
      </w:tr>
      <w:tr>
        <w:trPr>
          <w:cantSplit w:val="0"/>
          <w:trHeight w:val="300" w:hRule="atLeast"/>
          <w:tblHeader w:val="0"/>
        </w:trPr>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aid4</w:t>
            </w:r>
            <w:r w:rsidDel="00000000" w:rsidR="00000000" w:rsidRPr="00000000">
              <w:rPr>
                <w:rtl w:val="0"/>
              </w:rPr>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6">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3.301</w:t>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8">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A">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1.135</w:t>
            </w:r>
          </w:p>
        </w:tc>
        <w:tc>
          <w:tcPr>
            <w:tcBorders>
              <w:bottom w:color="000000" w:space="0" w:sz="0" w:val="nil"/>
            </w:tcBorders>
            <w:tcMar>
              <w:top w:w="0.0" w:type="dxa"/>
              <w:left w:w="120.0" w:type="dxa"/>
              <w:bottom w:w="0.0" w:type="dxa"/>
              <w:right w:w="120.0" w:type="dxa"/>
            </w:tcMar>
          </w:tcPr>
          <w:p w:rsidR="00000000" w:rsidDel="00000000" w:rsidP="00000000" w:rsidRDefault="00000000" w:rsidRPr="00000000" w14:paraId="0000015B">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-0.391</w:t>
            </w:r>
          </w:p>
        </w:tc>
      </w:tr>
      <w:tr>
        <w:trPr>
          <w:cantSplit w:val="0"/>
          <w:trHeight w:val="300" w:hRule="atLeast"/>
          <w:tblHeader w:val="0"/>
        </w:trPr>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5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aid5</w:t>
            </w:r>
            <w:r w:rsidDel="00000000" w:rsidR="00000000" w:rsidRPr="00000000">
              <w:rPr>
                <w:rtl w:val="0"/>
              </w:rPr>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5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3.231</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5E">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5F">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60">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61">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1.192</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16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-0.335</w:t>
            </w:r>
          </w:p>
        </w:tc>
      </w:tr>
    </w:tbl>
    <w:p w:rsidR="00000000" w:rsidDel="00000000" w:rsidP="00000000" w:rsidRDefault="00000000" w:rsidRPr="00000000" w14:paraId="00000163">
      <w:pPr>
        <w:pStyle w:val="Heading3"/>
        <w:spacing w:after="288" w:before="48.00000000000001" w:line="288" w:lineRule="auto"/>
        <w:ind w:right="2"/>
        <w:rPr>
          <w:rFonts w:ascii="Times New Roman" w:cs="Times New Roman" w:eastAsia="Times New Roman" w:hAnsi="Times New Roman"/>
          <w:i w:val="1"/>
          <w:iCs w:val="1"/>
          <w:sz w:val="24"/>
          <w:szCs w:val="24"/>
        </w:rPr>
      </w:pPr>
      <w:bookmarkStart w:colFirst="0" w:colLast="0" w:name="_heading=h.w0cblru1u1g" w:id="9"/>
      <w:bookmarkEnd w:id="9"/>
      <w:r w:rsidDel="00000000" w:rsidR="00000000" w:rsidRPr="00000000">
        <w:rPr>
          <w:rtl w:val="0"/>
        </w:rPr>
      </w:r>
    </w:p>
    <w:p w:rsidR="00000000" w:rsidDel="00000000" w:rsidP="00000000" w:rsidRDefault="00000000" w:rsidRPr="00000000" w14:paraId="00000164">
      <w:pPr>
        <w:pStyle w:val="Heading3"/>
        <w:spacing w:after="288" w:before="48.00000000000001" w:line="288" w:lineRule="auto"/>
        <w:ind w:right="2"/>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4.1.2.</w:t>
        <w:tab/>
        <w:t xml:space="preserve">Indicator reliability</w:t>
      </w:r>
      <w:r w:rsidDel="00000000" w:rsidR="00000000" w:rsidRPr="00000000">
        <w:rPr>
          <w:rtl w:val="0"/>
        </w:rPr>
      </w:r>
    </w:p>
    <w:p w:rsidR="00000000" w:rsidDel="00000000" w:rsidP="00000000" w:rsidRDefault="00000000" w:rsidRPr="00000000" w14:paraId="0000016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reliability was assessed using outer loadings. Following Hair et al. (2021), loadings above 0.70 are preferred, while 0.60-0.70 are acceptable. All AID items loaded strongly, ASE and CT items met acceptable thresholds. Two CT indicators fell slightly below 0.70 but were retained for theoretical relevance.</w:t>
      </w:r>
    </w:p>
    <w:p w:rsidR="00000000" w:rsidDel="00000000" w:rsidP="00000000" w:rsidRDefault="00000000" w:rsidRPr="00000000" w14:paraId="0000016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 Outer loadings (indicator reliability)</w:t>
      </w:r>
    </w:p>
    <w:p w:rsidR="00000000" w:rsidDel="00000000" w:rsidP="00000000" w:rsidRDefault="00000000" w:rsidRPr="00000000" w14:paraId="0000016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5"/>
        <w:tblW w:w="5400.0" w:type="dxa"/>
        <w:jc w:val="center"/>
        <w:tblBorders>
          <w:top w:color="000000" w:space="0" w:sz="4" w:val="single"/>
          <w:bottom w:color="000000" w:space="0" w:sz="4" w:val="single"/>
        </w:tblBorders>
        <w:tblLayout w:type="fixed"/>
        <w:tblLook w:val="0600"/>
      </w:tblPr>
      <w:tblGrid>
        <w:gridCol w:w="2700"/>
        <w:gridCol w:w="2700"/>
        <w:tblGridChange w:id="0">
          <w:tblGrid>
            <w:gridCol w:w="2700"/>
            <w:gridCol w:w="2700"/>
          </w:tblGrid>
        </w:tblGridChange>
      </w:tblGrid>
      <w:tr>
        <w:trPr>
          <w:cantSplit w:val="0"/>
          <w:trHeight w:val="208"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6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Indicator</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6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Loading</w:t>
            </w:r>
            <w:r w:rsidDel="00000000" w:rsidR="00000000" w:rsidRPr="00000000">
              <w:rPr>
                <w:rtl w:val="0"/>
              </w:rPr>
            </w:r>
          </w:p>
        </w:tc>
      </w:tr>
      <w:tr>
        <w:trPr>
          <w:cantSplit w:val="0"/>
          <w:trHeight w:val="18" w:hRule="atLeast"/>
          <w:tblHeader w:val="0"/>
        </w:trPr>
        <w:tc>
          <w:tcPr>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16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aid1</w:t>
            </w:r>
          </w:p>
        </w:tc>
        <w:tc>
          <w:tcPr>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16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0.831</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6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aid2</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6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0.856</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6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aid3</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6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0.887</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aid4</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0.727</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aid5</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0.800</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ase1</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0.661</w:t>
            </w:r>
          </w:p>
        </w:tc>
      </w:tr>
      <w:tr>
        <w:trPr>
          <w:cantSplit w:val="0"/>
          <w:trHeight w:val="60"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ase2</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0.718</w:t>
            </w:r>
          </w:p>
        </w:tc>
      </w:tr>
      <w:tr>
        <w:trPr>
          <w:cantSplit w:val="0"/>
          <w:trHeight w:val="126"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ase3</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0.710</w:t>
            </w:r>
          </w:p>
        </w:tc>
      </w:tr>
      <w:tr>
        <w:trPr>
          <w:cantSplit w:val="0"/>
          <w:trHeight w:val="515"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ase4</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0.769</w:t>
            </w:r>
          </w:p>
        </w:tc>
      </w:tr>
      <w:tr>
        <w:trPr>
          <w:cantSplit w:val="0"/>
          <w:trHeight w:val="186"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ase5</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0.700</w:t>
            </w:r>
          </w:p>
        </w:tc>
      </w:tr>
      <w:tr>
        <w:trPr>
          <w:cantSplit w:val="0"/>
          <w:trHeight w:val="97"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ase6</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7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0.740</w:t>
            </w:r>
          </w:p>
        </w:tc>
      </w:tr>
      <w:tr>
        <w:trPr>
          <w:cantSplit w:val="0"/>
          <w:trHeight w:val="162"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ase7</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0.735</w:t>
            </w:r>
          </w:p>
        </w:tc>
      </w:tr>
      <w:tr>
        <w:trPr>
          <w:cantSplit w:val="0"/>
          <w:trHeight w:val="213"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ct1</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0.722</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ct2</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0.662</w:t>
            </w:r>
          </w:p>
        </w:tc>
      </w:tr>
      <w:tr>
        <w:trPr>
          <w:cantSplit w:val="0"/>
          <w:trHeight w:val="203"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ct3</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0.710</w:t>
            </w:r>
          </w:p>
        </w:tc>
      </w:tr>
      <w:tr>
        <w:trPr>
          <w:cantSplit w:val="0"/>
          <w:trHeight w:val="185"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ct4</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r>
      <w:tr>
        <w:trPr>
          <w:cantSplit w:val="0"/>
          <w:trHeight w:val="321"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ct5</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0.691</w:t>
            </w:r>
          </w:p>
        </w:tc>
      </w:tr>
      <w:tr>
        <w:trPr>
          <w:cantSplit w:val="0"/>
          <w:trHeight w:val="246"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ct6</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0.710</w:t>
            </w:r>
          </w:p>
        </w:tc>
      </w:tr>
      <w:tr>
        <w:trPr>
          <w:cantSplit w:val="0"/>
          <w:trHeight w:val="18"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ct7</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8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0.686</w:t>
            </w:r>
          </w:p>
        </w:tc>
      </w:tr>
      <w:tr>
        <w:trPr>
          <w:cantSplit w:val="0"/>
          <w:trHeight w:val="18" w:hRule="atLeast"/>
          <w:tblHeader w:val="0"/>
        </w:trPr>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9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ct8</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9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0.664</w:t>
            </w:r>
          </w:p>
        </w:tc>
      </w:tr>
    </w:tbl>
    <w:p w:rsidR="00000000" w:rsidDel="00000000" w:rsidP="00000000" w:rsidRDefault="00000000" w:rsidRPr="00000000" w14:paraId="00000192">
      <w:pPr>
        <w:spacing w:after="288" w:before="48.00000000000001" w:line="288" w:lineRule="auto"/>
        <w:ind w:firstLine="72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93">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consistency was measured by means of Cronbach's alpha, rho_A, and composite reliability. According to Hair et al. (2021), CR &gt; 0.70 and alpha values above 0.70 are considered acceptable. In fact, all three constructs were beyond these ​‍​‌‍​‍‌​‍​‌‍​‍‌limits.</w:t>
      </w:r>
    </w:p>
    <w:p w:rsidR="00000000" w:rsidDel="00000000" w:rsidP="00000000" w:rsidRDefault="00000000" w:rsidRPr="00000000" w14:paraId="00000194">
      <w:pPr>
        <w:pStyle w:val="Heading3"/>
        <w:spacing w:after="288" w:before="48.00000000000001" w:line="288" w:lineRule="auto"/>
        <w:ind w:right="2"/>
        <w:rPr>
          <w:rFonts w:ascii="Times New Roman" w:cs="Times New Roman" w:eastAsia="Times New Roman" w:hAnsi="Times New Roman"/>
          <w:b w:val="1"/>
          <w:bCs w:val="1"/>
          <w:i w:val="1"/>
          <w:iCs w:val="1"/>
          <w:sz w:val="24"/>
          <w:szCs w:val="24"/>
        </w:rPr>
      </w:pPr>
      <w:bookmarkStart w:colFirst="0" w:colLast="0" w:name="_heading=h.i7kdt3bu1vdw" w:id="10"/>
      <w:bookmarkEnd w:id="10"/>
      <w:r w:rsidDel="00000000" w:rsidR="00000000" w:rsidRPr="00000000">
        <w:rPr>
          <w:rFonts w:ascii="Times New Roman" w:cs="Times New Roman" w:eastAsia="Times New Roman" w:hAnsi="Times New Roman"/>
          <w:i w:val="1"/>
          <w:iCs w:val="1"/>
          <w:sz w:val="24"/>
          <w:szCs w:val="24"/>
          <w:rtl w:val="0"/>
        </w:rPr>
        <w:t xml:space="preserve">4.1.3.</w:t>
        <w:tab/>
        <w:t xml:space="preserve">Internal consistency</w:t>
      </w:r>
      <w:r w:rsidDel="00000000" w:rsidR="00000000" w:rsidRPr="00000000">
        <w:rPr>
          <w:rtl w:val="0"/>
        </w:rPr>
      </w:r>
    </w:p>
    <w:p w:rsidR="00000000" w:rsidDel="00000000" w:rsidP="00000000" w:rsidRDefault="00000000" w:rsidRPr="00000000" w14:paraId="0000019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consistency was measured through Cronbach’s alpha, rho_A, and composite reliability. Hair et al. (2021) suggest CR &gt; 0.70 and alpha values above 0.70 as being acceptable. The three constructs had all these indicators going beyond the limits. Hence, these findings reflect high internal consistency reliability for the different ​‍​‌‍​‍‌​‍​‌‍​‍‌constructs.</w:t>
      </w:r>
    </w:p>
    <w:p w:rsidR="00000000" w:rsidDel="00000000" w:rsidP="00000000" w:rsidRDefault="00000000" w:rsidRPr="00000000" w14:paraId="0000019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5. Internal consistency reliability</w:t>
      </w:r>
    </w:p>
    <w:p w:rsidR="00000000" w:rsidDel="00000000" w:rsidP="00000000" w:rsidRDefault="00000000" w:rsidRPr="00000000" w14:paraId="00000197">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6"/>
        <w:tblW w:w="8400.0" w:type="dxa"/>
        <w:jc w:val="center"/>
        <w:tblBorders>
          <w:top w:color="000000" w:space="0" w:sz="4" w:val="single"/>
          <w:bottom w:color="000000" w:space="0" w:sz="4" w:val="single"/>
        </w:tblBorders>
        <w:tblLayout w:type="fixed"/>
        <w:tblLook w:val="0600"/>
      </w:tblPr>
      <w:tblGrid>
        <w:gridCol w:w="1440"/>
        <w:gridCol w:w="2310"/>
        <w:gridCol w:w="1200"/>
        <w:gridCol w:w="3450"/>
        <w:tblGridChange w:id="0">
          <w:tblGrid>
            <w:gridCol w:w="1440"/>
            <w:gridCol w:w="2310"/>
            <w:gridCol w:w="1200"/>
            <w:gridCol w:w="3450"/>
          </w:tblGrid>
        </w:tblGridChange>
      </w:tblGrid>
      <w:tr>
        <w:trPr>
          <w:cantSplit w:val="0"/>
          <w:trHeight w:val="515"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9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Construct</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9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Cronbach’s α</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9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rho_A</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9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Composite Reliability (CR)</w:t>
            </w:r>
            <w:r w:rsidDel="00000000" w:rsidR="00000000" w:rsidRPr="00000000">
              <w:rPr>
                <w:rtl w:val="0"/>
              </w:rPr>
            </w:r>
          </w:p>
        </w:tc>
      </w:tr>
      <w:tr>
        <w:trPr>
          <w:cantSplit w:val="0"/>
          <w:trHeight w:val="515" w:hRule="atLeast"/>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0.882</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0.944</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9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0.912</w:t>
            </w:r>
          </w:p>
        </w:tc>
      </w:tr>
      <w:tr>
        <w:trPr>
          <w:cantSplit w:val="0"/>
          <w:trHeight w:val="515"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1A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1A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0.845</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1A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0.851</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1A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0.882</w:t>
            </w:r>
          </w:p>
        </w:tc>
      </w:tr>
      <w:tr>
        <w:trPr>
          <w:cantSplit w:val="0"/>
          <w:trHeight w:val="515" w:hRule="atLeast"/>
          <w:tblHeader w:val="0"/>
        </w:trPr>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A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A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0.852</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A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0.856</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A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0.885</w:t>
            </w:r>
          </w:p>
        </w:tc>
      </w:tr>
    </w:tbl>
    <w:p w:rsidR="00000000" w:rsidDel="00000000" w:rsidP="00000000" w:rsidRDefault="00000000" w:rsidRPr="00000000" w14:paraId="000001A8">
      <w:pPr>
        <w:pStyle w:val="Heading3"/>
        <w:spacing w:after="288" w:before="48.00000000000001" w:line="288" w:lineRule="auto"/>
        <w:ind w:right="2"/>
        <w:rPr>
          <w:rFonts w:ascii="Times New Roman" w:cs="Times New Roman" w:eastAsia="Times New Roman" w:hAnsi="Times New Roman"/>
          <w:i w:val="1"/>
          <w:iCs w:val="1"/>
          <w:sz w:val="24"/>
          <w:szCs w:val="24"/>
        </w:rPr>
      </w:pPr>
      <w:bookmarkStart w:colFirst="0" w:colLast="0" w:name="_heading=h.tsr3zln4jprg" w:id="11"/>
      <w:bookmarkEnd w:id="11"/>
      <w:r w:rsidDel="00000000" w:rsidR="00000000" w:rsidRPr="00000000">
        <w:rPr>
          <w:rtl w:val="0"/>
        </w:rPr>
      </w:r>
    </w:p>
    <w:p w:rsidR="00000000" w:rsidDel="00000000" w:rsidP="00000000" w:rsidRDefault="00000000" w:rsidRPr="00000000" w14:paraId="000001A9">
      <w:pPr>
        <w:pStyle w:val="Heading3"/>
        <w:spacing w:after="288" w:before="48.00000000000001" w:line="288" w:lineRule="auto"/>
        <w:ind w:right="2"/>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4.1.4.</w:t>
        <w:tab/>
        <w:t xml:space="preserve">Convergent validity</w:t>
      </w:r>
      <w:r w:rsidDel="00000000" w:rsidR="00000000" w:rsidRPr="00000000">
        <w:rPr>
          <w:rtl w:val="0"/>
        </w:rPr>
      </w:r>
    </w:p>
    <w:p w:rsidR="00000000" w:rsidDel="00000000" w:rsidP="00000000" w:rsidRDefault="00000000" w:rsidRPr="00000000" w14:paraId="000001A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Convergent​‍​‌‍​‍‌​‍​‌‍​‍‌ validity was measured by means of the Average Variance Extracted (AVE). According to Hair et al. (2021), an AVE value of 0.50 or more is considered acceptable. The AVE of CT (0.492) is just a little bit below the threshold that is pointed out by the authors, but Hair et al. (2021) also mention that an AVE value slightly lower than 0.50 can still indicate acceptable convergent validity if the composite reliability is higher than 0.70. Since the CR of CT was 0.885, convergent validity was considered ​‍​‌‍​‍‌​‍​‌‍​‍‌sufficient.</w:t>
      </w:r>
    </w:p>
    <w:p w:rsidR="00000000" w:rsidDel="00000000" w:rsidP="00000000" w:rsidRDefault="00000000" w:rsidRPr="00000000" w14:paraId="000001A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6. Convergent Validity (AVE)</w:t>
      </w:r>
    </w:p>
    <w:p w:rsidR="00000000" w:rsidDel="00000000" w:rsidP="00000000" w:rsidRDefault="00000000" w:rsidRPr="00000000" w14:paraId="000001AC">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7"/>
        <w:tblW w:w="9000.0" w:type="dxa"/>
        <w:jc w:val="center"/>
        <w:tblBorders>
          <w:top w:color="000000" w:space="0" w:sz="4" w:val="single"/>
          <w:bottom w:color="000000" w:space="0" w:sz="4" w:val="single"/>
        </w:tblBorders>
        <w:tblLayout w:type="fixed"/>
        <w:tblLook w:val="0600"/>
      </w:tblPr>
      <w:tblGrid>
        <w:gridCol w:w="3114"/>
        <w:gridCol w:w="5886"/>
        <w:tblGridChange w:id="0">
          <w:tblGrid>
            <w:gridCol w:w="3114"/>
            <w:gridCol w:w="5886"/>
          </w:tblGrid>
        </w:tblGridChange>
      </w:tblGrid>
      <w:tr>
        <w:trPr>
          <w:cantSplit w:val="0"/>
          <w:trHeight w:val="18"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A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Construct</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A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AVE</w:t>
            </w:r>
            <w:r w:rsidDel="00000000" w:rsidR="00000000" w:rsidRPr="00000000">
              <w:rPr>
                <w:rtl w:val="0"/>
              </w:rPr>
            </w:r>
          </w:p>
        </w:tc>
      </w:tr>
      <w:tr>
        <w:trPr>
          <w:cantSplit w:val="0"/>
          <w:trHeight w:val="18" w:hRule="atLeast"/>
          <w:tblHeader w:val="0"/>
        </w:trPr>
        <w:tc>
          <w:tcPr>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1A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w:t>
            </w:r>
          </w:p>
        </w:tc>
        <w:tc>
          <w:tcPr>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1B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0.676</w:t>
            </w:r>
          </w:p>
        </w:tc>
      </w:tr>
      <w:tr>
        <w:trPr>
          <w:cantSplit w:val="0"/>
          <w:trHeight w:val="56" w:hRule="atLeast"/>
          <w:tblHeader w:val="0"/>
        </w:trPr>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B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w:t>
            </w:r>
          </w:p>
        </w:tc>
        <w:tc>
          <w:tcPr>
            <w:tcBorders>
              <w:top w:color="000000" w:space="0" w:sz="0" w:val="nil"/>
              <w:bottom w:color="000000" w:space="0" w:sz="0" w:val="nil"/>
            </w:tcBorders>
            <w:tcMar>
              <w:top w:w="100.0" w:type="dxa"/>
              <w:left w:w="100.0" w:type="dxa"/>
              <w:bottom w:w="100.0" w:type="dxa"/>
              <w:right w:w="100.0" w:type="dxa"/>
            </w:tcMar>
          </w:tcPr>
          <w:p w:rsidR="00000000" w:rsidDel="00000000" w:rsidP="00000000" w:rsidRDefault="00000000" w:rsidRPr="00000000" w14:paraId="000001B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0.518</w:t>
            </w:r>
          </w:p>
        </w:tc>
      </w:tr>
      <w:tr>
        <w:trPr>
          <w:cantSplit w:val="0"/>
          <w:trHeight w:val="18" w:hRule="atLeast"/>
          <w:tblHeader w:val="0"/>
        </w:trPr>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B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1B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0.492</w:t>
            </w:r>
          </w:p>
        </w:tc>
      </w:tr>
    </w:tbl>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9gyh39yqejrc" w:id="12"/>
      <w:bookmarkEnd w:id="12"/>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4.1.5.</w:t>
        <w:tab/>
        <w:t xml:space="preserve">Discriminant validity of the scale</w:t>
      </w:r>
    </w:p>
    <w:p w:rsidR="00000000" w:rsidDel="00000000" w:rsidP="00000000" w:rsidRDefault="00000000" w:rsidRPr="00000000" w14:paraId="000001B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indicator most strongly reflects its respective latent construct (AID, ASE, or CT), and all the cross-loadings are significantly lower than the main loadings. This pattern meets the standard set by Leguina (2015), thus providing evidence that each item is a unique representative of the construct it aims to ​‍​‌‍​‍‌​‍​‌‍​‍‌measure.</w:t>
      </w:r>
    </w:p>
    <w:p w:rsidR="00000000" w:rsidDel="00000000" w:rsidP="00000000" w:rsidRDefault="00000000" w:rsidRPr="00000000" w14:paraId="000001B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7. Cross-loading</w:t>
      </w:r>
    </w:p>
    <w:p w:rsidR="00000000" w:rsidDel="00000000" w:rsidP="00000000" w:rsidRDefault="00000000" w:rsidRPr="00000000" w14:paraId="000001B9">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8"/>
        <w:tblW w:w="9025.0" w:type="dxa"/>
        <w:jc w:val="left"/>
        <w:tblBorders>
          <w:top w:color="000000" w:space="0" w:sz="4" w:val="single"/>
          <w:bottom w:color="000000" w:space="0" w:sz="4" w:val="single"/>
        </w:tblBorders>
        <w:tblLayout w:type="fixed"/>
        <w:tblLook w:val="0600"/>
      </w:tblPr>
      <w:tblGrid>
        <w:gridCol w:w="1891"/>
        <w:gridCol w:w="2378"/>
        <w:gridCol w:w="2378"/>
        <w:gridCol w:w="2378"/>
        <w:tblGridChange w:id="0">
          <w:tblGrid>
            <w:gridCol w:w="1891"/>
            <w:gridCol w:w="2378"/>
            <w:gridCol w:w="2378"/>
            <w:gridCol w:w="2378"/>
          </w:tblGrid>
        </w:tblGridChange>
      </w:tblGrid>
      <w:tr>
        <w:trPr>
          <w:cantSplit w:val="0"/>
          <w:trHeight w:val="172" w:hRule="atLeast"/>
          <w:tblHeader w:val="0"/>
        </w:trPr>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1B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1B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1B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w:t>
            </w:r>
            <w:r w:rsidDel="00000000" w:rsidR="00000000" w:rsidRPr="00000000">
              <w:rPr>
                <w:rtl w:val="0"/>
              </w:rPr>
            </w:r>
          </w:p>
        </w:tc>
        <w:tc>
          <w:tcPr>
            <w:tcBorders>
              <w:top w:color="000000" w:space="0" w:sz="12" w:val="single"/>
              <w:bottom w:color="000000" w:space="0" w:sz="12" w:val="single"/>
            </w:tcBorders>
            <w:tcMar>
              <w:top w:w="0.0" w:type="dxa"/>
              <w:left w:w="120.0" w:type="dxa"/>
              <w:bottom w:w="0.0" w:type="dxa"/>
              <w:right w:w="120.0" w:type="dxa"/>
            </w:tcMar>
          </w:tcPr>
          <w:p w:rsidR="00000000" w:rsidDel="00000000" w:rsidP="00000000" w:rsidRDefault="00000000" w:rsidRPr="00000000" w14:paraId="000001B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w:t>
            </w:r>
            <w:r w:rsidDel="00000000" w:rsidR="00000000" w:rsidRPr="00000000">
              <w:rPr>
                <w:rtl w:val="0"/>
              </w:rPr>
            </w:r>
          </w:p>
        </w:tc>
      </w:tr>
      <w:tr>
        <w:trPr>
          <w:cantSplit w:val="0"/>
          <w:trHeight w:val="300" w:hRule="atLeast"/>
          <w:tblHeader w:val="0"/>
        </w:trPr>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1B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aid1</w:t>
            </w:r>
            <w:r w:rsidDel="00000000" w:rsidR="00000000" w:rsidRPr="00000000">
              <w:rPr>
                <w:rtl w:val="0"/>
              </w:rPr>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1BF">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0.831</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1C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-0.045</w:t>
            </w:r>
          </w:p>
        </w:tc>
        <w:tc>
          <w:tcPr>
            <w:tcBorders>
              <w:top w:color="000000" w:space="0" w:sz="12" w:val="single"/>
              <w:bottom w:color="000000" w:space="0" w:sz="0" w:val="nil"/>
            </w:tcBorders>
            <w:tcMar>
              <w:top w:w="0.0" w:type="dxa"/>
              <w:left w:w="120.0" w:type="dxa"/>
              <w:bottom w:w="0.0" w:type="dxa"/>
              <w:right w:w="120.0" w:type="dxa"/>
            </w:tcMar>
          </w:tcPr>
          <w:p w:rsidR="00000000" w:rsidDel="00000000" w:rsidP="00000000" w:rsidRDefault="00000000" w:rsidRPr="00000000" w14:paraId="000001C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-0.043</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aid2</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3">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0.856</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-0.049</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aid3</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7">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0.887</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-0.071</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-0.071</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aid4</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B">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0.727</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-0.031</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aid5</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CF">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0.800</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-0.034</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-0.022</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ase1</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4">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0.661</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0.383</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ase2</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0.065</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8">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0.718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0.447</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ase3</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C">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0.710</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0.507</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ase4</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D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0">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0.769</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0.587</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ase5</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-0.031</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4">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0.700</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0.463</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ase6</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-0.096</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8">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0.740</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0.508</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ase7</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C">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0.735</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D">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0.538</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ct1</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E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0.034</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0.486</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1">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0.722</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ct2</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0.385</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5">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0.662</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ct3</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-0.024</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0.485</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9">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0.710</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ct4</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-0.109</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D">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0.759</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ct5</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1F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1">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0.691</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ct6</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0.495</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5">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0.710</w:t>
            </w:r>
          </w:p>
        </w:tc>
      </w:tr>
      <w:tr>
        <w:trPr>
          <w:cantSplit w:val="0"/>
          <w:trHeight w:val="300" w:hRule="atLeast"/>
          <w:tblHeader w:val="0"/>
        </w:trPr>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ct7</w:t>
            </w:r>
            <w:r w:rsidDel="00000000" w:rsidR="00000000" w:rsidRPr="00000000">
              <w:rPr>
                <w:rtl w:val="0"/>
              </w:rPr>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8">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0.438</w:t>
            </w:r>
          </w:p>
        </w:tc>
        <w:tc>
          <w:tcPr>
            <w:tcBorders>
              <w:top w:color="000000" w:space="0" w:sz="0" w:val="nil"/>
              <w:bottom w:color="000000" w:space="0" w:sz="0" w:val="nil"/>
            </w:tcBorders>
            <w:tcMar>
              <w:top w:w="0.0" w:type="dxa"/>
              <w:left w:w="120.0" w:type="dxa"/>
              <w:bottom w:w="0.0" w:type="dxa"/>
              <w:right w:w="120.0" w:type="dxa"/>
            </w:tcMar>
          </w:tcPr>
          <w:p w:rsidR="00000000" w:rsidDel="00000000" w:rsidP="00000000" w:rsidRDefault="00000000" w:rsidRPr="00000000" w14:paraId="00000209">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0.664</w:t>
            </w:r>
          </w:p>
        </w:tc>
      </w:tr>
      <w:tr>
        <w:trPr>
          <w:cantSplit w:val="0"/>
          <w:trHeight w:val="300" w:hRule="atLeast"/>
          <w:tblHeader w:val="0"/>
        </w:trPr>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20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ct8</w:t>
            </w:r>
            <w:r w:rsidDel="00000000" w:rsidR="00000000" w:rsidRPr="00000000">
              <w:rPr>
                <w:rtl w:val="0"/>
              </w:rPr>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20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-0.081</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20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0.458</w:t>
            </w:r>
          </w:p>
        </w:tc>
        <w:tc>
          <w:tcPr>
            <w:tcBorders>
              <w:top w:color="000000" w:space="0" w:sz="0" w:val="nil"/>
              <w:bottom w:color="000000" w:space="0" w:sz="12" w:val="single"/>
            </w:tcBorders>
            <w:tcMar>
              <w:top w:w="0.0" w:type="dxa"/>
              <w:left w:w="120.0" w:type="dxa"/>
              <w:bottom w:w="0.0" w:type="dxa"/>
              <w:right w:w="120.0" w:type="dxa"/>
            </w:tcMar>
          </w:tcPr>
          <w:p w:rsidR="00000000" w:rsidDel="00000000" w:rsidP="00000000" w:rsidRDefault="00000000" w:rsidRPr="00000000" w14:paraId="0000020D">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0.686</w:t>
            </w:r>
          </w:p>
        </w:tc>
      </w:tr>
    </w:tbl>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2oyifk1u8vi6" w:id="13"/>
      <w:bookmarkEnd w:id="13"/>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4.1.6. Path Coefficients and Significance</w:t>
      </w:r>
    </w:p>
    <w:p w:rsidR="00000000" w:rsidDel="00000000" w:rsidP="00000000" w:rsidRDefault="00000000" w:rsidRPr="00000000" w14:paraId="00000210">
      <w:pPr>
        <w:spacing w:after="288" w:before="48.00000000000001" w:line="288" w:lineRule="auto"/>
        <w:ind w:firstLine="720"/>
        <w:rPr>
          <w:rFonts w:ascii="Times New Roman" w:cs="Times New Roman" w:eastAsia="Times New Roman" w:hAnsi="Times New Roman"/>
          <w:sz w:val="24"/>
          <w:szCs w:val="24"/>
        </w:rPr>
      </w:pPr>
      <w:bookmarkStart w:colFirst="0" w:colLast="0" w:name="_heading=h.ejcg08xh67i4" w:id="14"/>
      <w:bookmarkEnd w:id="14"/>
      <w:r w:rsidDel="00000000" w:rsidR="00000000" w:rsidRPr="00000000">
        <w:rPr>
          <w:rFonts w:ascii="Times New Roman" w:cs="Times New Roman" w:eastAsia="Times New Roman" w:hAnsi="Times New Roman"/>
          <w:sz w:val="24"/>
          <w:szCs w:val="24"/>
          <w:rtl w:val="0"/>
        </w:rPr>
        <w:t xml:space="preserve">Path relationships among the latent constructs were examined using the PLS-SEM algorithm, followed by bootstrapping with 5,000 subsamples. The results are presented in Table 4.10.</w:t>
      </w:r>
    </w:p>
    <w:p w:rsidR="00000000" w:rsidDel="00000000" w:rsidP="00000000" w:rsidRDefault="00000000" w:rsidRPr="00000000" w14:paraId="0000021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8. Path coefficients and bootstrapping results</w:t>
      </w:r>
    </w:p>
    <w:p w:rsidR="00000000" w:rsidDel="00000000" w:rsidP="00000000" w:rsidRDefault="00000000" w:rsidRPr="00000000" w14:paraId="00000212">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9"/>
        <w:tblW w:w="8820.0" w:type="dxa"/>
        <w:jc w:val="left"/>
        <w:tblBorders>
          <w:top w:color="000000" w:space="0" w:sz="4" w:val="single"/>
          <w:bottom w:color="000000" w:space="0" w:sz="4" w:val="single"/>
        </w:tblBorders>
        <w:tblLayout w:type="fixed"/>
        <w:tblLook w:val="0600"/>
      </w:tblPr>
      <w:tblGrid>
        <w:gridCol w:w="1830"/>
        <w:gridCol w:w="1500"/>
        <w:gridCol w:w="1425"/>
        <w:gridCol w:w="1425"/>
        <w:gridCol w:w="2640"/>
        <w:tblGridChange w:id="0">
          <w:tblGrid>
            <w:gridCol w:w="1830"/>
            <w:gridCol w:w="1500"/>
            <w:gridCol w:w="1425"/>
            <w:gridCol w:w="1425"/>
            <w:gridCol w:w="2640"/>
          </w:tblGrid>
        </w:tblGridChange>
      </w:tblGrid>
      <w:tr>
        <w:trPr>
          <w:cantSplit w:val="0"/>
          <w:trHeight w:val="515"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1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Structural Path</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1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β</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1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t-value</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1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p-value</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17">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95% CI (Bias-corrected)</w:t>
            </w:r>
            <w:r w:rsidDel="00000000" w:rsidR="00000000" w:rsidRPr="00000000">
              <w:rPr>
                <w:rtl w:val="0"/>
              </w:rPr>
            </w:r>
          </w:p>
        </w:tc>
      </w:tr>
      <w:tr>
        <w:trPr>
          <w:cantSplit w:val="0"/>
          <w:trHeight w:val="515" w:hRule="atLeast"/>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18">
            <w:pPr>
              <w:spacing w:after="288" w:before="48.00000000000001" w:line="288" w:lineRule="auto"/>
              <w:jc w:val="center"/>
              <w:rPr>
                <w:rFonts w:ascii="Times New Roman" w:cs="Times New Roman" w:eastAsia="Times New Roman" w:hAnsi="Times New Roman"/>
                <w:sz w:val="24"/>
                <w:szCs w:val="24"/>
              </w:rPr>
            </w:pPr>
            <w:sdt>
              <w:sdtPr>
                <w:id w:val="-711519748"/>
                <w:tag w:val="goog_rdk_0"/>
              </w:sdtPr>
              <w:sdtContent>
                <w:r w:rsidDel="00000000" w:rsidR="00000000" w:rsidRPr="00000000">
                  <w:rPr>
                    <w:rFonts w:ascii="Cardo" w:cs="Cardo" w:eastAsia="Cardo" w:hAnsi="Cardo"/>
                    <w:sz w:val="24"/>
                    <w:szCs w:val="24"/>
                    <w:rtl w:val="0"/>
                  </w:rPr>
                  <w:t xml:space="preserve">ASE → CT</w:t>
                </w:r>
              </w:sdtContent>
            </w:sdt>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19">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0.690</w:t>
            </w: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1A">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17.367</w:t>
            </w: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1B">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0.000</w:t>
            </w: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1C">
            <w:pPr>
              <w:spacing w:after="288" w:before="48.00000000000001"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[0.594; 0.756]</w:t>
            </w:r>
          </w:p>
        </w:tc>
      </w:tr>
      <w:tr>
        <w:trPr>
          <w:cantSplit w:val="0"/>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21D">
            <w:pPr>
              <w:spacing w:after="288" w:before="48.00000000000001" w:line="288" w:lineRule="auto"/>
              <w:jc w:val="center"/>
              <w:rPr>
                <w:rFonts w:ascii="Times New Roman" w:cs="Times New Roman" w:eastAsia="Times New Roman" w:hAnsi="Times New Roman"/>
                <w:sz w:val="24"/>
                <w:szCs w:val="24"/>
              </w:rPr>
            </w:pPr>
            <w:sdt>
              <w:sdtPr>
                <w:id w:val="-798038069"/>
                <w:tag w:val="goog_rdk_1"/>
              </w:sdtPr>
              <w:sdtContent>
                <w:r w:rsidDel="00000000" w:rsidR="00000000" w:rsidRPr="00000000">
                  <w:rPr>
                    <w:rFonts w:ascii="Cardo" w:cs="Cardo" w:eastAsia="Cardo" w:hAnsi="Cardo"/>
                    <w:sz w:val="24"/>
                    <w:szCs w:val="24"/>
                    <w:rtl w:val="0"/>
                  </w:rPr>
                  <w:t xml:space="preserve">CT → AID</w:t>
                </w:r>
              </w:sdtContent>
            </w:sdt>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21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21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0.025</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22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0.980</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22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[-0.237; 0.223]</w:t>
            </w:r>
          </w:p>
        </w:tc>
      </w:tr>
      <w:tr>
        <w:trPr>
          <w:cantSplit w:val="0"/>
          <w:trHeight w:val="515" w:hRule="atLeast"/>
          <w:tblHeader w:val="0"/>
        </w:trPr>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222">
            <w:pPr>
              <w:spacing w:after="288" w:before="48.00000000000001" w:line="288" w:lineRule="auto"/>
              <w:jc w:val="center"/>
              <w:rPr>
                <w:rFonts w:ascii="Times New Roman" w:cs="Times New Roman" w:eastAsia="Times New Roman" w:hAnsi="Times New Roman"/>
                <w:sz w:val="24"/>
                <w:szCs w:val="24"/>
              </w:rPr>
            </w:pPr>
            <w:sdt>
              <w:sdtPr>
                <w:id w:val="-648565440"/>
                <w:tag w:val="goog_rdk_2"/>
              </w:sdtPr>
              <w:sdtContent>
                <w:r w:rsidDel="00000000" w:rsidR="00000000" w:rsidRPr="00000000">
                  <w:rPr>
                    <w:rFonts w:ascii="Cardo" w:cs="Cardo" w:eastAsia="Cardo" w:hAnsi="Cardo"/>
                    <w:sz w:val="24"/>
                    <w:szCs w:val="24"/>
                    <w:rtl w:val="0"/>
                  </w:rPr>
                  <w:t xml:space="preserve">ASE → AID</w:t>
                </w:r>
              </w:sdtContent>
            </w:sdt>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22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-0.062</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22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0.589</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22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0.556</w:t>
            </w:r>
          </w:p>
        </w:tc>
        <w:tc>
          <w:tcPr>
            <w:tcBorders>
              <w:top w:color="000000" w:space="0" w:sz="0" w:val="nil"/>
              <w:bottom w:color="000000" w:space="0" w:sz="12" w:val="single"/>
            </w:tcBorders>
            <w:tcMar>
              <w:top w:w="100.0" w:type="dxa"/>
              <w:left w:w="100.0" w:type="dxa"/>
              <w:bottom w:w="100.0" w:type="dxa"/>
              <w:right w:w="100.0" w:type="dxa"/>
            </w:tcMar>
          </w:tcPr>
          <w:p w:rsidR="00000000" w:rsidDel="00000000" w:rsidP="00000000" w:rsidRDefault="00000000" w:rsidRPr="00000000" w14:paraId="0000022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[-0.196; 0.246]</w:t>
            </w:r>
          </w:p>
        </w:tc>
      </w:tr>
    </w:tbl>
    <w:p w:rsidR="00000000" w:rsidDel="00000000" w:rsidP="00000000" w:rsidRDefault="00000000" w:rsidRPr="00000000" w14:paraId="00000227">
      <w:pPr>
        <w:spacing w:after="288" w:before="48.00000000000001" w:line="288" w:lineRule="auto"/>
        <w:ind w:firstLine="72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228">
      <w:pPr>
        <w:spacing w:after="288" w:before="48.00000000000001" w:line="288" w:lineRule="auto"/>
        <w:ind w:firstLine="720"/>
        <w:rPr>
          <w:rFonts w:ascii="Times New Roman" w:cs="Times New Roman" w:eastAsia="Times New Roman" w:hAnsi="Times New Roman"/>
          <w:sz w:val="24"/>
          <w:szCs w:val="24"/>
        </w:rPr>
      </w:pPr>
      <w:sdt>
        <w:sdtPr>
          <w:id w:val="-1570419589"/>
          <w:tag w:val="goog_rdk_3"/>
        </w:sdtPr>
        <w:sdtContent>
          <w:r w:rsidDel="00000000" w:rsidR="00000000" w:rsidRPr="00000000">
            <w:rPr>
              <w:rFonts w:ascii="Cardo" w:cs="Cardo" w:eastAsia="Cardo" w:hAnsi="Cardo"/>
              <w:sz w:val="24"/>
              <w:szCs w:val="24"/>
              <w:rtl w:val="0"/>
            </w:rPr>
            <w:t xml:space="preserve">Only one structural relationship was statistically significant, that is ASE → CT. It was positive and strongly significant (β = 0.690, p &lt; 0.001). Students with higher academic self-efficacy demonstrated stronger critical thinking skills.</w:t>
          </w:r>
        </w:sdtContent>
      </w:sdt>
    </w:p>
    <w:p w:rsidR="00000000" w:rsidDel="00000000" w:rsidP="00000000" w:rsidRDefault="00000000" w:rsidRPr="00000000" w14:paraId="0000022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w:t>
      </w:r>
      <w:sdt>
        <w:sdtPr>
          <w:id w:val="-52667763"/>
          <w:tag w:val="goog_rdk_4"/>
        </w:sdtPr>
        <w:sdtContent>
          <w:r w:rsidDel="00000000" w:rsidR="00000000" w:rsidRPr="00000000">
            <w:rPr>
              <w:rFonts w:ascii="Cardo" w:cs="Cardo" w:eastAsia="Cardo" w:hAnsi="Cardo"/>
              <w:b w:val="1"/>
              <w:bCs w:val="1"/>
              <w:sz w:val="24"/>
              <w:szCs w:val="24"/>
              <w:rtl w:val="0"/>
            </w:rPr>
            <w:t xml:space="preserve">ASE → AID</w:t>
          </w:r>
        </w:sdtContent>
      </w:sdt>
      <w:r w:rsidDel="00000000" w:rsidR="00000000" w:rsidRPr="00000000">
        <w:rPr>
          <w:rFonts w:ascii="Times New Roman" w:cs="Times New Roman" w:eastAsia="Times New Roman" w:hAnsi="Times New Roman"/>
          <w:sz w:val="24"/>
          <w:szCs w:val="24"/>
          <w:rtl w:val="0"/>
        </w:rPr>
        <w:t xml:space="preserve"> nor </w:t>
      </w:r>
      <w:sdt>
        <w:sdtPr>
          <w:id w:val="-1391708786"/>
          <w:tag w:val="goog_rdk_5"/>
        </w:sdtPr>
        <w:sdtContent>
          <w:r w:rsidDel="00000000" w:rsidR="00000000" w:rsidRPr="00000000">
            <w:rPr>
              <w:rFonts w:ascii="Cardo" w:cs="Cardo" w:eastAsia="Cardo" w:hAnsi="Cardo"/>
              <w:b w:val="1"/>
              <w:bCs w:val="1"/>
              <w:sz w:val="24"/>
              <w:szCs w:val="24"/>
              <w:rtl w:val="0"/>
            </w:rPr>
            <w:t xml:space="preserve">CT → AID</w:t>
          </w:r>
        </w:sdtContent>
      </w:sdt>
      <w:r w:rsidDel="00000000" w:rsidR="00000000" w:rsidRPr="00000000">
        <w:rPr>
          <w:rFonts w:ascii="Times New Roman" w:cs="Times New Roman" w:eastAsia="Times New Roman" w:hAnsi="Times New Roman"/>
          <w:sz w:val="24"/>
          <w:szCs w:val="24"/>
          <w:rtl w:val="0"/>
        </w:rPr>
        <w:t xml:space="preserve"> reached statistical significance, and both effects were extremely small in magnitude. These results imply that neither a student’s self-efficacy nor their critical thinking skills meaningfully predict their level of AI dependence in this sample.</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451z469va5yj" w:id="15"/>
      <w:bookmarkEnd w:id="15"/>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4.1.7. R² Values</w:t>
      </w:r>
    </w:p>
    <w:p w:rsidR="00000000" w:rsidDel="00000000" w:rsidP="00000000" w:rsidRDefault="00000000" w:rsidRPr="00000000" w14:paraId="0000022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R² values indicate the proportion of variance explained in each endogenous construct.</w:t>
      </w:r>
    </w:p>
    <w:p w:rsidR="00000000" w:rsidDel="00000000" w:rsidP="00000000" w:rsidRDefault="00000000" w:rsidRPr="00000000" w14:paraId="0000022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9. R² Values</w:t>
      </w:r>
    </w:p>
    <w:p w:rsidR="00000000" w:rsidDel="00000000" w:rsidP="00000000" w:rsidRDefault="00000000" w:rsidRPr="00000000" w14:paraId="0000022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10"/>
        <w:tblW w:w="8340.0" w:type="dxa"/>
        <w:jc w:val="left"/>
        <w:tblLayout w:type="fixed"/>
        <w:tblLook w:val="0600"/>
      </w:tblPr>
      <w:tblGrid>
        <w:gridCol w:w="3030"/>
        <w:gridCol w:w="1260"/>
        <w:gridCol w:w="4050"/>
        <w:tblGridChange w:id="0">
          <w:tblGrid>
            <w:gridCol w:w="3030"/>
            <w:gridCol w:w="1260"/>
            <w:gridCol w:w="4050"/>
          </w:tblGrid>
        </w:tblGridChange>
      </w:tblGrid>
      <w:tr>
        <w:trPr>
          <w:cantSplit w:val="0"/>
          <w:trHeight w:val="212"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2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Construct</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2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R²</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3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R² Adjusted</w:t>
            </w:r>
            <w:r w:rsidDel="00000000" w:rsidR="00000000" w:rsidRPr="00000000">
              <w:rPr>
                <w:rtl w:val="0"/>
              </w:rPr>
            </w:r>
          </w:p>
        </w:tc>
      </w:tr>
      <w:tr>
        <w:trPr>
          <w:cantSplit w:val="0"/>
          <w:trHeight w:val="515" w:hRule="atLeast"/>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3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CT</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32">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0.476</w:t>
            </w: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23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0.474</w:t>
            </w:r>
          </w:p>
        </w:tc>
      </w:tr>
      <w:tr>
        <w:trPr>
          <w:cantSplit w:val="0"/>
          <w:trHeight w:val="515" w:hRule="atLeast"/>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0.004</w:t>
            </w: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236">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r>
    </w:tbl>
    <w:p w:rsidR="00000000" w:rsidDel="00000000" w:rsidP="00000000" w:rsidRDefault="00000000" w:rsidRPr="00000000" w14:paraId="00000237">
      <w:pPr>
        <w:spacing w:after="288" w:before="48.00000000000001"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R² = 0.476 for CT reflects moderate explanatory power. Academic self-efficacy alone accounts for 47.6% of the variance in critical thinking. However the R² = 0.004 for AID indicates negligible explanatory power. ASE and CT together explain less than 1% of the variance in AI dependence - aligns with the statistically insignificant paths toward AID.</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720" w:right="0" w:hanging="72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bookmarkStart w:colFirst="0" w:colLast="0" w:name="_heading=h.1bxd28v3i2hi" w:id="16"/>
      <w:bookmarkEnd w:id="16"/>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4.1.8. Mediation analysis</w:t>
      </w:r>
    </w:p>
    <w:p w:rsidR="00000000" w:rsidDel="00000000" w:rsidP="00000000" w:rsidRDefault="00000000" w:rsidRPr="00000000" w14:paraId="0000023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Mediation analysis was conducted to test whether critical thinking transmitted the effect of academic self-efficacy to AI dependence. The indirect effect was trivial and non-significant (β = 0.002, t = 0.024, p = 0.981) and the confidence interval included zero. Because the key mediator-outcome path was non-significant, the requirements for mediation were not met. Accordingly, critical thinking cannot be concluded to mediate the relationship between academic self-efficacy and AI dependence.</w:t>
      </w:r>
    </w:p>
    <w:p w:rsidR="00000000" w:rsidDel="00000000" w:rsidP="00000000" w:rsidRDefault="00000000" w:rsidRPr="00000000" w14:paraId="0000023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C">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10. Specific indirect effect</w:t>
      </w:r>
    </w:p>
    <w:p w:rsidR="00000000" w:rsidDel="00000000" w:rsidP="00000000" w:rsidRDefault="00000000" w:rsidRPr="00000000" w14:paraId="0000023D">
      <w:pPr>
        <w:spacing w:after="288" w:before="48.00000000000001"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Conducted by authors (2025)</w:t>
      </w:r>
      <w:r w:rsidDel="00000000" w:rsidR="00000000" w:rsidRPr="00000000">
        <w:rPr>
          <w:rtl w:val="0"/>
        </w:rPr>
      </w:r>
    </w:p>
    <w:tbl>
      <w:tblPr>
        <w:tblStyle w:val="Table11"/>
        <w:tblW w:w="8853.0" w:type="dxa"/>
        <w:jc w:val="left"/>
        <w:tblBorders>
          <w:top w:color="000000" w:space="0" w:sz="4" w:val="single"/>
          <w:bottom w:color="000000" w:space="0" w:sz="4" w:val="single"/>
        </w:tblBorders>
        <w:tblLayout w:type="fixed"/>
        <w:tblLook w:val="0600"/>
      </w:tblPr>
      <w:tblGrid>
        <w:gridCol w:w="2805"/>
        <w:gridCol w:w="2016"/>
        <w:gridCol w:w="2016"/>
        <w:gridCol w:w="2016"/>
        <w:tblGridChange w:id="0">
          <w:tblGrid>
            <w:gridCol w:w="2805"/>
            <w:gridCol w:w="2016"/>
            <w:gridCol w:w="2016"/>
            <w:gridCol w:w="2016"/>
          </w:tblGrid>
        </w:tblGridChange>
      </w:tblGrid>
      <w:tr>
        <w:trPr>
          <w:cantSplit w:val="0"/>
          <w:trHeight w:val="65"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3E">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Indirect Path</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3F">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β</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0">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t-value</w:t>
            </w: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1">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p-value</w:t>
            </w:r>
            <w:r w:rsidDel="00000000" w:rsidR="00000000" w:rsidRPr="00000000">
              <w:rPr>
                <w:rtl w:val="0"/>
              </w:rPr>
            </w:r>
          </w:p>
        </w:tc>
      </w:tr>
      <w:tr>
        <w:trPr>
          <w:cantSplit w:val="0"/>
          <w:trHeight w:val="18" w:hRule="atLeast"/>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2">
            <w:pPr>
              <w:spacing w:after="288" w:before="48.00000000000001" w:line="288" w:lineRule="auto"/>
              <w:jc w:val="center"/>
              <w:rPr>
                <w:rFonts w:ascii="Times New Roman" w:cs="Times New Roman" w:eastAsia="Times New Roman" w:hAnsi="Times New Roman"/>
                <w:sz w:val="24"/>
                <w:szCs w:val="24"/>
              </w:rPr>
            </w:pPr>
            <w:sdt>
              <w:sdtPr>
                <w:id w:val="-1002032801"/>
                <w:tag w:val="goog_rdk_6"/>
              </w:sdtPr>
              <w:sdtContent>
                <w:r w:rsidDel="00000000" w:rsidR="00000000" w:rsidRPr="00000000">
                  <w:rPr>
                    <w:rFonts w:ascii="Cardo" w:cs="Cardo" w:eastAsia="Cardo" w:hAnsi="Cardo"/>
                    <w:sz w:val="24"/>
                    <w:szCs w:val="24"/>
                    <w:rtl w:val="0"/>
                  </w:rPr>
                  <w:t xml:space="preserve">ASE → CT → AID</w:t>
                </w:r>
              </w:sdtContent>
            </w:sdt>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3">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4">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0.024</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245">
            <w:pPr>
              <w:spacing w:after="288" w:before="48.00000000000001"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0.981</w:t>
            </w:r>
          </w:p>
        </w:tc>
      </w:tr>
    </w:tbl>
    <w:p w:rsidR="00000000" w:rsidDel="00000000" w:rsidP="00000000" w:rsidRDefault="00000000" w:rsidRPr="00000000" w14:paraId="00000246">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center" w:leader="none" w:pos="4253"/>
          <w:tab w:val="right" w:leader="none" w:pos="8505"/>
        </w:tabs>
        <w:spacing w:after="288" w:before="48.00000000000001" w:line="288" w:lineRule="auto"/>
        <w:rPr>
          <w:rFonts w:ascii="Times New Roman" w:cs="Times New Roman" w:eastAsia="Times New Roman" w:hAnsi="Times New Roman"/>
          <w:b w:val="1"/>
          <w:bCs w:val="1"/>
          <w:i w:val="1"/>
          <w:iCs w:val="1"/>
          <w:color w:val="000000"/>
          <w:sz w:val="24"/>
          <w:szCs w:val="24"/>
        </w:rPr>
      </w:pPr>
      <w:bookmarkStart w:colFirst="0" w:colLast="0" w:name="_heading=h.oo47ti8hnmo3" w:id="17"/>
      <w:bookmarkEnd w:id="17"/>
      <w:r w:rsidDel="00000000" w:rsidR="00000000" w:rsidRPr="00000000">
        <w:rPr>
          <w:rtl w:val="0"/>
        </w:rPr>
      </w:r>
    </w:p>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center" w:leader="none" w:pos="4253"/>
          <w:tab w:val="right" w:leader="none" w:pos="8505"/>
        </w:tabs>
        <w:spacing w:after="288" w:before="48.00000000000001" w:line="288" w:lineRule="auto"/>
        <w:ind w:left="1440" w:hanging="1440"/>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4.2.</w:t>
        <w:tab/>
        <w:t xml:space="preserve">Discussion</w:t>
      </w:r>
    </w:p>
    <w:p w:rsidR="00000000" w:rsidDel="00000000" w:rsidP="00000000" w:rsidRDefault="00000000" w:rsidRPr="00000000" w14:paraId="0000024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show that academic self-efficacy significantly and positively predicts critical thinking (H1 supported), while neither academic self-efficacy nor critical thinking has a significant direct effect on AI dependence (H2 and H3 not supported). </w:t>
      </w:r>
    </w:p>
    <w:p w:rsidR="00000000" w:rsidDel="00000000" w:rsidP="00000000" w:rsidRDefault="00000000" w:rsidRPr="00000000" w14:paraId="0000024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strong association between academic self-efficacy and critical thinking (β = 0.690, p &lt; 0.001) is consistent with established theory and empirical evidence indicating that students with higher confidence in their academic abilities are more likely to engage in higher-order cognitive processes such as analysis and problem-solving (Bandura, 1997; Phan, 2010; Wang, 2014; Vachova et al., 2023). This pattern is also evident among university students in HCMC.</w:t>
      </w:r>
    </w:p>
    <w:p w:rsidR="00000000" w:rsidDel="00000000" w:rsidP="00000000" w:rsidRDefault="00000000" w:rsidRPr="00000000" w14:paraId="0000024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 AI dependence appears to be shaped primarily by external and instrumental factors, including time efficiency, task management, and performance optimization, rather than by internal academic beliefs (Tran et al., 2020; Alshamy et al., 2025). Similarly, critical thinking shows no significant relationship with AI dependence, aligning with studies suggesting that technology reliance is driven more by behavioral and contextual factors such as habit formation and social normalization than by cognitive skills (Hong et al., 2019; Rashid, 2025).</w:t>
      </w:r>
    </w:p>
    <w:p w:rsidR="00000000" w:rsidDel="00000000" w:rsidP="00000000" w:rsidRDefault="00000000" w:rsidRPr="00000000" w14:paraId="0000024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Baron and Kenny (1986), the absence of a significant link between critical thinking and AI dependence explains the lack of a mediating effect, consistent with Acosta and Enriquez et al. (2025). Overall, the findings highlight a gap between cognitive competence and technology-related behavior and suggest that managing AI dependence requires structural and institutional interventions rather than cognition-focused approaches.</w:t>
      </w:r>
    </w:p>
    <w:p w:rsidR="00000000" w:rsidDel="00000000" w:rsidP="00000000" w:rsidRDefault="00000000" w:rsidRPr="00000000" w14:paraId="000002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b w:val="1"/>
          <w:bCs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Conclusion</w:t>
      </w:r>
    </w:p>
    <w:p w:rsidR="00000000" w:rsidDel="00000000" w:rsidP="00000000" w:rsidRDefault="00000000" w:rsidRPr="00000000" w14:paraId="0000024D">
      <w:pPr>
        <w:spacing w:after="288" w:before="48.00000000000001" w:line="288" w:lineRule="auto"/>
        <w:rPr>
          <w:rFonts w:ascii="Times New Roman" w:cs="Times New Roman" w:eastAsia="Times New Roman" w:hAnsi="Times New Roman"/>
          <w:sz w:val="24"/>
          <w:szCs w:val="24"/>
        </w:rPr>
      </w:pPr>
      <w:bookmarkStart w:colFirst="0" w:colLast="0" w:name="_heading=h.grjgnoip9sk1" w:id="18"/>
      <w:bookmarkEnd w:id="18"/>
      <w:r w:rsidDel="00000000" w:rsidR="00000000" w:rsidRPr="00000000">
        <w:rPr>
          <w:rFonts w:ascii="Times New Roman" w:cs="Times New Roman" w:eastAsia="Times New Roman" w:hAnsi="Times New Roman"/>
          <w:sz w:val="24"/>
          <w:szCs w:val="24"/>
          <w:rtl w:val="0"/>
        </w:rPr>
        <w:t xml:space="preserve">​‍​‌‍​‍‌​‍​‌‍</w:t>
        <w:tab/>
        <w:t xml:space="preserve">This study shows that while academic self-efficacy remains a strong predictor of critical thinking, it does not reduce AI dependence among university students in HCMC. However, the absence of both direct and mediating effects indicates that internal cognitive resources alone are insufficient to regulate reliance on technology. Instead, AI dependence could appear to be shaped more by habitual use, institutional norms, and perceived utility than by individual cognition. Therefore, these findings emphasize the importance of developing context-specific theoretical models and interventions. Moreover, enhancing critical thinking without corresponding governance and ethical frameworks may improve cognitive outcomes, yet leave behavioral risks unaddressed. Consequently, a balanced approach that integrates psychological development with institutional regulation is essential for sustainable AI use in Vietnamese higher education.</w:t>
      </w:r>
    </w:p>
    <w:p w:rsidR="00000000" w:rsidDel="00000000" w:rsidP="00000000" w:rsidRDefault="00000000" w:rsidRPr="00000000" w14:paraId="0000024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Limitations of the study </w:t>
      </w:r>
    </w:p>
    <w:p w:rsidR="00000000" w:rsidDel="00000000" w:rsidP="00000000" w:rsidRDefault="00000000" w:rsidRPr="00000000" w14:paraId="0000024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efforts to explore new insights, this study has several limitations. First, the cross-sectional design involved data collection at a single point in time, which limits the ability to infer causal relationships or the direction of influence among academic self-efficacy, critical thinking, and AI dependence over time. Second, although the sample included students from multiple universities in HCMC, the findings may not fully represent students in rural areas or other regions of Vietnam. Differences in educational contexts, cultural norms, and levels of digital infrastructure between urban and rural settings may lead to distinct patterns of AI use and dependence. ​‍​‌‍​‍‌​‍​‌</w:t>
      </w:r>
    </w:p>
    <w:p w:rsidR="00000000" w:rsidDel="00000000" w:rsidP="00000000" w:rsidRDefault="00000000" w:rsidRPr="00000000" w14:paraId="0000025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center" w:leader="none" w:pos="4253"/>
          <w:tab w:val="right" w:leader="none" w:pos="8505"/>
        </w:tabs>
        <w:spacing w:after="288" w:before="48.00000000000001" w:line="288" w:lineRule="auto"/>
        <w:ind w:left="0" w:right="0" w:firstLine="0"/>
        <w:jc w:val="both"/>
        <w:rPr>
          <w:rFonts w:ascii="Times New Roman" w:cs="Times New Roman" w:eastAsia="Times New Roman" w:hAnsi="Times New Roman"/>
          <w:i w:val="1"/>
          <w:iCs w:val="1"/>
          <w:smallCaps w:val="0"/>
          <w:strike w:val="0"/>
          <w:u w:val="none"/>
          <w:shd w:fill="auto" w:val="clear"/>
          <w:vertAlign w:val="baseline"/>
        </w:rPr>
      </w:pPr>
      <w:bookmarkStart w:colFirst="0" w:colLast="0" w:name="_heading=h.g7msk0euxuc5" w:id="19"/>
      <w:bookmarkEnd w:id="19"/>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Future research directions </w:t>
      </w:r>
    </w:p>
    <w:p w:rsidR="00000000" w:rsidDel="00000000" w:rsidP="00000000" w:rsidRDefault="00000000" w:rsidRPr="00000000" w14:paraId="0000025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acknowledging the identified gaps, this paper sets up a basis for more research. Firstly, the subsequent research should utilize time series research to observe the fluctuation of academic self-efficacy, critical thinking, and AI dependence over time. This enables the researchers to more deeply investigate causal relationships and the direction of the influence among these variables, instead of only their associations at a single time point.</w:t>
      </w:r>
    </w:p>
    <w:p w:rsidR="00000000" w:rsidDel="00000000" w:rsidP="00000000" w:rsidRDefault="00000000" w:rsidRPr="00000000" w14:paraId="00000252">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 to get results that can be generalized to the larger population, the next research should widen the sample by including students from remote areas and other provinces of Vietnam. This would facilitate the understanding of differences in cultural background, digital infrastructure, and educational environments that can, in fact, have an impact on AI ​‍​‌‍​‍‌​‍​‌‍​‍‌dependence.</w:t>
      </w:r>
    </w:p>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288" w:before="48.00000000000001" w:line="288" w:lineRule="auto"/>
        <w:jc w:val="center"/>
        <w:rPr>
          <w:rFonts w:ascii="Times New Roman" w:cs="Times New Roman" w:eastAsia="Times New Roman" w:hAnsi="Times New Roman"/>
          <w:b w:val="1"/>
          <w:bCs w:val="1"/>
          <w:color w:val="000000"/>
          <w:sz w:val="24"/>
          <w:szCs w:val="24"/>
          <w:highlight w:val="white"/>
        </w:rPr>
      </w:pPr>
      <w:r w:rsidDel="00000000" w:rsidR="00000000" w:rsidRPr="00000000">
        <w:rPr>
          <w:rFonts w:ascii="Times New Roman" w:cs="Times New Roman" w:eastAsia="Times New Roman" w:hAnsi="Times New Roman"/>
          <w:b w:val="1"/>
          <w:bCs w:val="1"/>
          <w:color w:val="000000"/>
          <w:sz w:val="24"/>
          <w:szCs w:val="24"/>
          <w:rtl w:val="0"/>
        </w:rPr>
        <w:t xml:space="preserve">REFERENCES</w:t>
      </w:r>
      <w:r w:rsidDel="00000000" w:rsidR="00000000" w:rsidRPr="00000000">
        <w:rPr>
          <w:rtl w:val="0"/>
        </w:rPr>
      </w:r>
    </w:p>
    <w:p w:rsidR="00000000" w:rsidDel="00000000" w:rsidP="00000000" w:rsidRDefault="00000000" w:rsidRPr="00000000" w14:paraId="00000254">
      <w:pPr>
        <w:spacing w:after="288" w:before="48.00000000000001" w:line="288" w:lineRule="auto"/>
        <w:ind w:firstLine="720"/>
        <w:rPr>
          <w:rFonts w:ascii="Times New Roman" w:cs="Times New Roman" w:eastAsia="Times New Roman" w:hAnsi="Times New Roman"/>
          <w:sz w:val="24"/>
          <w:szCs w:val="24"/>
        </w:rPr>
      </w:pPr>
      <w:bookmarkStart w:colFirst="0" w:colLast="0" w:name="_heading=h.3whwml4" w:id="20"/>
      <w:bookmarkEnd w:id="20"/>
      <w:r w:rsidDel="00000000" w:rsidR="00000000" w:rsidRPr="00000000">
        <w:rPr>
          <w:rFonts w:ascii="Times New Roman" w:cs="Times New Roman" w:eastAsia="Times New Roman" w:hAnsi="Times New Roman"/>
          <w:sz w:val="24"/>
          <w:szCs w:val="24"/>
          <w:rtl w:val="0"/>
        </w:rPr>
        <w:t xml:space="preserve">Acosta-Enriquez, B. G., Agustín, M., Jordan, O. H., Roca, C. L., &amp; Tirado, K. S. (2024). Analysis of college students’ attitudes toward the use of ChatGPT in their academic activities: effect of intent to use, verification of information and responsible use. </w:t>
      </w:r>
      <w:r w:rsidDel="00000000" w:rsidR="00000000" w:rsidRPr="00000000">
        <w:rPr>
          <w:rFonts w:ascii="Times New Roman" w:cs="Times New Roman" w:eastAsia="Times New Roman" w:hAnsi="Times New Roman"/>
          <w:i w:val="1"/>
          <w:iCs w:val="1"/>
          <w:sz w:val="24"/>
          <w:szCs w:val="24"/>
          <w:rtl w:val="0"/>
        </w:rPr>
        <w:t xml:space="preserve">BMC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(1). https://doi.org/10.1186/s40359-024-01764-z</w:t>
      </w:r>
    </w:p>
    <w:p w:rsidR="00000000" w:rsidDel="00000000" w:rsidP="00000000" w:rsidRDefault="00000000" w:rsidRPr="00000000" w14:paraId="0000025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Acosta-Enriquez, B. G., Ballesteros, M. A. A., Guzman Valle, M. de los A., Angaspilco, J. E. M., Aquino Lalupú, J. del R., Jaico, J. L. B., Germán Reyes, N. C., Alarcón García, R. E., &amp; Castillo, W. E. J. (2025a). The mediating role of academic stress, critical thinking and performance expectations in the influence of academic self-efficacy on AI dependence: Case study in college students. </w:t>
      </w:r>
      <w:r w:rsidDel="00000000" w:rsidR="00000000" w:rsidRPr="00000000">
        <w:rPr>
          <w:rFonts w:ascii="Times New Roman" w:cs="Times New Roman" w:eastAsia="Times New Roman" w:hAnsi="Times New Roman"/>
          <w:i w:val="1"/>
          <w:iCs w:val="1"/>
          <w:sz w:val="24"/>
          <w:szCs w:val="24"/>
          <w:rtl w:val="0"/>
        </w:rPr>
        <w:t xml:space="preserve">Computers and Education: Artificial Intelligence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 100381. https://doi.org/10.1016/j.caeai.2025.100381</w:t>
      </w:r>
    </w:p>
    <w:p w:rsidR="00000000" w:rsidDel="00000000" w:rsidP="00000000" w:rsidRDefault="00000000" w:rsidRPr="00000000" w14:paraId="0000025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Acosta-Enriquez, B. G., Ballesteros, M. A. A., Guzman Valle, M. de los A., Angaspilco, J. E. M., Aquino Lalupú, J. del R., Jaico, J. L. B., Germán Reyes, N. C., Alarcón García, R. E., &amp; Castillo, W. E. J. (2025b). The mediating role of academic stress, critical thinking and performance expectations in the influence of academic self-efficacy on AI dependence: Case study in college students. </w:t>
      </w:r>
      <w:r w:rsidDel="00000000" w:rsidR="00000000" w:rsidRPr="00000000">
        <w:rPr>
          <w:rFonts w:ascii="Times New Roman" w:cs="Times New Roman" w:eastAsia="Times New Roman" w:hAnsi="Times New Roman"/>
          <w:i w:val="1"/>
          <w:iCs w:val="1"/>
          <w:sz w:val="24"/>
          <w:szCs w:val="24"/>
          <w:rtl w:val="0"/>
        </w:rPr>
        <w:t xml:space="preserve">Computers and Education: Artificial Intelligence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 100381. https://doi.org/10.1016/j.caeai.2025.100381</w:t>
      </w:r>
    </w:p>
    <w:p w:rsidR="00000000" w:rsidDel="00000000" w:rsidP="00000000" w:rsidRDefault="00000000" w:rsidRPr="00000000" w14:paraId="0000025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Agustín, M., Acosta, G., Verónica, E., Daniel, H., Edgardo, L., Ernesto, J., Catherine, J., Licapa-Redolfo, G. S., &amp; Christiam, G. (2024). The Sustainable Integration of AI in Higher Education: Analyzing ChatGPT Acceptance Factors Through an Extended UTAUT2 Framework in Peruvian Universities. </w:t>
      </w:r>
      <w:r w:rsidDel="00000000" w:rsidR="00000000" w:rsidRPr="00000000">
        <w:rPr>
          <w:rFonts w:ascii="Times New Roman" w:cs="Times New Roman" w:eastAsia="Times New Roman" w:hAnsi="Times New Roman"/>
          <w:i w:val="1"/>
          <w:iCs w:val="1"/>
          <w:sz w:val="24"/>
          <w:szCs w:val="24"/>
          <w:rtl w:val="0"/>
        </w:rPr>
        <w:t xml:space="preserve">Sustainability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16</w:t>
      </w:r>
      <w:r w:rsidDel="00000000" w:rsidR="00000000" w:rsidRPr="00000000">
        <w:rPr>
          <w:rFonts w:ascii="Times New Roman" w:cs="Times New Roman" w:eastAsia="Times New Roman" w:hAnsi="Times New Roman"/>
          <w:sz w:val="24"/>
          <w:szCs w:val="24"/>
          <w:rtl w:val="0"/>
        </w:rPr>
        <w:t xml:space="preserve">(23), 10707–10707. https://doi.org/10.3390/su162310707</w:t>
      </w:r>
    </w:p>
    <w:p w:rsidR="00000000" w:rsidDel="00000000" w:rsidP="00000000" w:rsidRDefault="00000000" w:rsidRPr="00000000" w14:paraId="0000025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Alsaeed Alshamy, Salim, A., &amp; Abdullah, S. (2025). Perceptions of Generative AI Tools in Higher Education: Insights from Students and Academics at Sultan Qaboos University. </w:t>
      </w:r>
      <w:r w:rsidDel="00000000" w:rsidR="00000000" w:rsidRPr="00000000">
        <w:rPr>
          <w:rFonts w:ascii="Times New Roman" w:cs="Times New Roman" w:eastAsia="Times New Roman" w:hAnsi="Times New Roman"/>
          <w:i w:val="1"/>
          <w:iCs w:val="1"/>
          <w:sz w:val="24"/>
          <w:szCs w:val="24"/>
          <w:rtl w:val="0"/>
        </w:rPr>
        <w:t xml:space="preserve">Education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(4), 501–501. https://doi.org/10.3390/educsci15040501</w:t>
      </w:r>
    </w:p>
    <w:p w:rsidR="00000000" w:rsidDel="00000000" w:rsidP="00000000" w:rsidRDefault="00000000" w:rsidRPr="00000000" w14:paraId="0000025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Bailin, S. (2002). Critical Thinking and Science Education. </w:t>
      </w:r>
      <w:r w:rsidDel="00000000" w:rsidR="00000000" w:rsidRPr="00000000">
        <w:rPr>
          <w:rFonts w:ascii="Times New Roman" w:cs="Times New Roman" w:eastAsia="Times New Roman" w:hAnsi="Times New Roman"/>
          <w:i w:val="1"/>
          <w:iCs w:val="1"/>
          <w:sz w:val="24"/>
          <w:szCs w:val="24"/>
          <w:rtl w:val="0"/>
        </w:rPr>
        <w:t xml:space="preserve">Science and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(4), 361–375. https://doi.org/10.1023/a:1016042608621</w:t>
      </w:r>
    </w:p>
    <w:p w:rsidR="00000000" w:rsidDel="00000000" w:rsidP="00000000" w:rsidRDefault="00000000" w:rsidRPr="00000000" w14:paraId="0000025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Bandura, A. (1986). </w:t>
      </w:r>
      <w:r w:rsidDel="00000000" w:rsidR="00000000" w:rsidRPr="00000000">
        <w:rPr>
          <w:rFonts w:ascii="Times New Roman" w:cs="Times New Roman" w:eastAsia="Times New Roman" w:hAnsi="Times New Roman"/>
          <w:i w:val="1"/>
          <w:iCs w:val="1"/>
          <w:sz w:val="24"/>
          <w:szCs w:val="24"/>
          <w:rtl w:val="0"/>
        </w:rPr>
        <w:t xml:space="preserve">Social foundations of thought and action: A social cognitive theory</w:t>
      </w:r>
      <w:r w:rsidDel="00000000" w:rsidR="00000000" w:rsidRPr="00000000">
        <w:rPr>
          <w:rFonts w:ascii="Times New Roman" w:cs="Times New Roman" w:eastAsia="Times New Roman" w:hAnsi="Times New Roman"/>
          <w:sz w:val="24"/>
          <w:szCs w:val="24"/>
          <w:rtl w:val="0"/>
        </w:rPr>
        <w:t xml:space="preserve">. Prentice-Hall.</w:t>
      </w:r>
    </w:p>
    <w:p w:rsidR="00000000" w:rsidDel="00000000" w:rsidP="00000000" w:rsidRDefault="00000000" w:rsidRPr="00000000" w14:paraId="0000025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Bandura, A. (1997). </w:t>
      </w:r>
      <w:r w:rsidDel="00000000" w:rsidR="00000000" w:rsidRPr="00000000">
        <w:rPr>
          <w:rFonts w:ascii="Times New Roman" w:cs="Times New Roman" w:eastAsia="Times New Roman" w:hAnsi="Times New Roman"/>
          <w:i w:val="1"/>
          <w:iCs w:val="1"/>
          <w:sz w:val="24"/>
          <w:szCs w:val="24"/>
          <w:rtl w:val="0"/>
        </w:rPr>
        <w:t xml:space="preserve">Self-efficacy: the Exercise of Control</w:t>
      </w:r>
      <w:r w:rsidDel="00000000" w:rsidR="00000000" w:rsidRPr="00000000">
        <w:rPr>
          <w:rFonts w:ascii="Times New Roman" w:cs="Times New Roman" w:eastAsia="Times New Roman" w:hAnsi="Times New Roman"/>
          <w:sz w:val="24"/>
          <w:szCs w:val="24"/>
          <w:rtl w:val="0"/>
        </w:rPr>
        <w:t xml:space="preserve">. W. H. Freeman.</w:t>
      </w:r>
    </w:p>
    <w:p w:rsidR="00000000" w:rsidDel="00000000" w:rsidP="00000000" w:rsidRDefault="00000000" w:rsidRPr="00000000" w14:paraId="0000025C">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Bandura, A., Barbaranelli, C., Caprara, G. V., &amp; Pastorelli, C. (1996). Multifaceted Impact of Self-Efficacy Beliefs on Academic Functioning. </w:t>
      </w:r>
      <w:r w:rsidDel="00000000" w:rsidR="00000000" w:rsidRPr="00000000">
        <w:rPr>
          <w:rFonts w:ascii="Times New Roman" w:cs="Times New Roman" w:eastAsia="Times New Roman" w:hAnsi="Times New Roman"/>
          <w:i w:val="1"/>
          <w:iCs w:val="1"/>
          <w:sz w:val="24"/>
          <w:szCs w:val="24"/>
          <w:rtl w:val="0"/>
        </w:rPr>
        <w:t xml:space="preserve">Child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67</w:t>
      </w:r>
      <w:r w:rsidDel="00000000" w:rsidR="00000000" w:rsidRPr="00000000">
        <w:rPr>
          <w:rFonts w:ascii="Times New Roman" w:cs="Times New Roman" w:eastAsia="Times New Roman" w:hAnsi="Times New Roman"/>
          <w:sz w:val="24"/>
          <w:szCs w:val="24"/>
          <w:rtl w:val="0"/>
        </w:rPr>
        <w:t xml:space="preserve">(3), 1206–1222. https://doi.org/10.1111/j.1467-8624.1996.tb01791.x</w:t>
      </w:r>
    </w:p>
    <w:p w:rsidR="00000000" w:rsidDel="00000000" w:rsidP="00000000" w:rsidRDefault="00000000" w:rsidRPr="00000000" w14:paraId="0000025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Baron, R. M., &amp; Kenny, D. A. (1986). The moderator-mediator variable distinction in social psychological research: Conceptual, strategic, and statistical considerations. </w:t>
      </w:r>
      <w:r w:rsidDel="00000000" w:rsidR="00000000" w:rsidRPr="00000000">
        <w:rPr>
          <w:rFonts w:ascii="Times New Roman" w:cs="Times New Roman" w:eastAsia="Times New Roman" w:hAnsi="Times New Roman"/>
          <w:i w:val="1"/>
          <w:iCs w:val="1"/>
          <w:sz w:val="24"/>
          <w:szCs w:val="24"/>
          <w:rtl w:val="0"/>
        </w:rPr>
        <w:t xml:space="preserve">Journal of Personality and Social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(6), 1173–1182.</w:t>
      </w:r>
    </w:p>
    <w:p w:rsidR="00000000" w:rsidDel="00000000" w:rsidP="00000000" w:rsidRDefault="00000000" w:rsidRPr="00000000" w14:paraId="0000025E">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Behar-Horenstein, L. S., &amp; Niu, L. (2011). Teaching critical thinking skills in higher education: A review of the literature. </w:t>
      </w:r>
      <w:r w:rsidDel="00000000" w:rsidR="00000000" w:rsidRPr="00000000">
        <w:rPr>
          <w:rFonts w:ascii="Times New Roman" w:cs="Times New Roman" w:eastAsia="Times New Roman" w:hAnsi="Times New Roman"/>
          <w:i w:val="1"/>
          <w:iCs w:val="1"/>
          <w:sz w:val="24"/>
          <w:szCs w:val="24"/>
          <w:rtl w:val="0"/>
        </w:rPr>
        <w:t xml:space="preserve">Journal of College Teaching &amp; Learning (TLC)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(2). https://doi.org/10.19030/tlc.v8i2.3554</w:t>
      </w:r>
    </w:p>
    <w:p w:rsidR="00000000" w:rsidDel="00000000" w:rsidP="00000000" w:rsidRDefault="00000000" w:rsidRPr="00000000" w14:paraId="0000025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Benicio Gonzalo Acosta-Enriquez, Verónica, E., Italo, L., Segundo, F., Helen Catalina Rabanal-León, Morales, E., &amp; Saldaña, C. (2024). Acceptance of Artificial Intelligence in University Contexts: A Conceptual Analysis Based on UTAUT2 Theory. </w:t>
      </w:r>
      <w:r w:rsidDel="00000000" w:rsidR="00000000" w:rsidRPr="00000000">
        <w:rPr>
          <w:rFonts w:ascii="Times New Roman" w:cs="Times New Roman" w:eastAsia="Times New Roman" w:hAnsi="Times New Roman"/>
          <w:i w:val="1"/>
          <w:iCs w:val="1"/>
          <w:sz w:val="24"/>
          <w:szCs w:val="24"/>
          <w:rtl w:val="0"/>
        </w:rPr>
        <w:t xml:space="preserve">Heliyon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(19), e38315–e38315. https://doi.org/10.1016/j.heliyon.2024.e38315</w:t>
      </w:r>
    </w:p>
    <w:p w:rsidR="00000000" w:rsidDel="00000000" w:rsidP="00000000" w:rsidRDefault="00000000" w:rsidRPr="00000000" w14:paraId="00000260">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Chassignol, M., Khoroshavin, A., Klimova, A., &amp; Bilyatdinova, A. (2018). Artificial Intelligence trends in education: a narrative overview. </w:t>
      </w:r>
      <w:r w:rsidDel="00000000" w:rsidR="00000000" w:rsidRPr="00000000">
        <w:rPr>
          <w:rFonts w:ascii="Times New Roman" w:cs="Times New Roman" w:eastAsia="Times New Roman" w:hAnsi="Times New Roman"/>
          <w:i w:val="1"/>
          <w:iCs w:val="1"/>
          <w:sz w:val="24"/>
          <w:szCs w:val="24"/>
          <w:rtl w:val="0"/>
        </w:rPr>
        <w:t xml:space="preserve">Procedia Computer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136</w:t>
      </w:r>
      <w:r w:rsidDel="00000000" w:rsidR="00000000" w:rsidRPr="00000000">
        <w:rPr>
          <w:rFonts w:ascii="Times New Roman" w:cs="Times New Roman" w:eastAsia="Times New Roman" w:hAnsi="Times New Roman"/>
          <w:sz w:val="24"/>
          <w:szCs w:val="24"/>
          <w:rtl w:val="0"/>
        </w:rPr>
        <w:t xml:space="preserve">(1877-0509), 16–24. https://doi.org/10.1016/j.procs.2018.08.233</w:t>
      </w:r>
    </w:p>
    <w:p w:rsidR="00000000" w:rsidDel="00000000" w:rsidP="00000000" w:rsidRDefault="00000000" w:rsidRPr="00000000" w14:paraId="0000026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Chemers, M. M., Hu, L., &amp; Garcia, B. F. (2001). Academic self-efficacy and first year college student performance and adjustment. </w:t>
      </w:r>
      <w:r w:rsidDel="00000000" w:rsidR="00000000" w:rsidRPr="00000000">
        <w:rPr>
          <w:rFonts w:ascii="Times New Roman" w:cs="Times New Roman" w:eastAsia="Times New Roman" w:hAnsi="Times New Roman"/>
          <w:i w:val="1"/>
          <w:iCs w:val="1"/>
          <w:sz w:val="24"/>
          <w:szCs w:val="24"/>
          <w:rtl w:val="0"/>
        </w:rPr>
        <w:t xml:space="preserve">Journal of Educational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93</w:t>
      </w:r>
      <w:r w:rsidDel="00000000" w:rsidR="00000000" w:rsidRPr="00000000">
        <w:rPr>
          <w:rFonts w:ascii="Times New Roman" w:cs="Times New Roman" w:eastAsia="Times New Roman" w:hAnsi="Times New Roman"/>
          <w:sz w:val="24"/>
          <w:szCs w:val="24"/>
          <w:rtl w:val="0"/>
        </w:rPr>
        <w:t xml:space="preserve">(1), 55–64. https://doi.org/10.1037/0022-0663.93.1.55</w:t>
      </w:r>
    </w:p>
    <w:p w:rsidR="00000000" w:rsidDel="00000000" w:rsidP="00000000" w:rsidRDefault="00000000" w:rsidRPr="00000000" w14:paraId="00000262">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Crompton, H., &amp; Burke, D. (2023). Artificial intelligence in higher education: The state of the field. </w:t>
      </w:r>
      <w:r w:rsidDel="00000000" w:rsidR="00000000" w:rsidRPr="00000000">
        <w:rPr>
          <w:rFonts w:ascii="Times New Roman" w:cs="Times New Roman" w:eastAsia="Times New Roman" w:hAnsi="Times New Roman"/>
          <w:i w:val="1"/>
          <w:iCs w:val="1"/>
          <w:sz w:val="24"/>
          <w:szCs w:val="24"/>
          <w:rtl w:val="0"/>
        </w:rPr>
        <w:t xml:space="preserve">International Journal of Educational Technology in Higher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(22), 1–22. https://doi.org/10.1186/s41239-023-00392-8</w:t>
      </w:r>
    </w:p>
    <w:p w:rsidR="00000000" w:rsidDel="00000000" w:rsidP="00000000" w:rsidRDefault="00000000" w:rsidRPr="00000000" w14:paraId="00000263">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Dehghani, M., sani, H. J., Pakmehr, H., &amp; Malekzadeh, A. (2011). Relationship between Students’ Critical Thinking and Self-efficacy Beliefs in Ferdowsi University of Mashhad, Iran. </w:t>
      </w:r>
      <w:r w:rsidDel="00000000" w:rsidR="00000000" w:rsidRPr="00000000">
        <w:rPr>
          <w:rFonts w:ascii="Times New Roman" w:cs="Times New Roman" w:eastAsia="Times New Roman" w:hAnsi="Times New Roman"/>
          <w:i w:val="1"/>
          <w:iCs w:val="1"/>
          <w:sz w:val="24"/>
          <w:szCs w:val="24"/>
          <w:rtl w:val="0"/>
        </w:rPr>
        <w:t xml:space="preserve">Procedia - Social and Behavioral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 2952–2955. https://doi.org/10.1016/j.sbspro.2011.04.221</w:t>
      </w:r>
    </w:p>
    <w:p w:rsidR="00000000" w:rsidDel="00000000" w:rsidP="00000000" w:rsidRDefault="00000000" w:rsidRPr="00000000" w14:paraId="00000264">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Dogaru, M., Andrei-Adrian Răgman, Pisică, O., Popa, C.-Ș., &amp; Tololoi, R. (2025). The perceived impact of artificial intelligence on academic learning. </w:t>
      </w:r>
      <w:r w:rsidDel="00000000" w:rsidR="00000000" w:rsidRPr="00000000">
        <w:rPr>
          <w:rFonts w:ascii="Times New Roman" w:cs="Times New Roman" w:eastAsia="Times New Roman" w:hAnsi="Times New Roman"/>
          <w:i w:val="1"/>
          <w:iCs w:val="1"/>
          <w:sz w:val="24"/>
          <w:szCs w:val="24"/>
          <w:rtl w:val="0"/>
        </w:rPr>
        <w:t xml:space="preserve">Frontiers in Artificial Intelligence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 https://doi.org/10.3389/frai.2025.1611183</w:t>
      </w:r>
    </w:p>
    <w:p w:rsidR="00000000" w:rsidDel="00000000" w:rsidP="00000000" w:rsidRDefault="00000000" w:rsidRPr="00000000" w14:paraId="0000026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Elder, L., &amp; Paul, R. (2019). </w:t>
      </w:r>
      <w:r w:rsidDel="00000000" w:rsidR="00000000" w:rsidRPr="00000000">
        <w:rPr>
          <w:rFonts w:ascii="Times New Roman" w:cs="Times New Roman" w:eastAsia="Times New Roman" w:hAnsi="Times New Roman"/>
          <w:i w:val="1"/>
          <w:iCs w:val="1"/>
          <w:sz w:val="24"/>
          <w:szCs w:val="24"/>
          <w:rtl w:val="0"/>
        </w:rPr>
        <w:t xml:space="preserve">Miniature guide to critical thinking concepts and tools.</w:t>
      </w:r>
      <w:r w:rsidDel="00000000" w:rsidR="00000000" w:rsidRPr="00000000">
        <w:rPr>
          <w:rFonts w:ascii="Times New Roman" w:cs="Times New Roman" w:eastAsia="Times New Roman" w:hAnsi="Times New Roman"/>
          <w:sz w:val="24"/>
          <w:szCs w:val="24"/>
          <w:rtl w:val="0"/>
        </w:rPr>
        <w:t xml:space="preserve"> (8th ed.). Rowman &amp; Littlefield.</w:t>
      </w:r>
    </w:p>
    <w:p w:rsidR="00000000" w:rsidDel="00000000" w:rsidP="00000000" w:rsidRDefault="00000000" w:rsidRPr="00000000" w14:paraId="0000026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Estrada-Araoz, E. G., Mamani-Roque, M., Jhemy Quispe-Aquise, Manrique-Jaramillo, Y. V., &amp; Cruz-Laricano, E. O. (2025). Academic self-efficacy and dependence on artificial intelligence in a sample of university students. </w:t>
      </w:r>
      <w:r w:rsidDel="00000000" w:rsidR="00000000" w:rsidRPr="00000000">
        <w:rPr>
          <w:rFonts w:ascii="Times New Roman" w:cs="Times New Roman" w:eastAsia="Times New Roman" w:hAnsi="Times New Roman"/>
          <w:i w:val="1"/>
          <w:iCs w:val="1"/>
          <w:sz w:val="24"/>
          <w:szCs w:val="24"/>
          <w:rtl w:val="0"/>
        </w:rPr>
        <w:t xml:space="preserve">Sapienza International Journal of Interdisciplinary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(1), e25008–e25008. https://doi.org/10.51798/sijis.v6i1.916</w:t>
      </w:r>
    </w:p>
    <w:p w:rsidR="00000000" w:rsidDel="00000000" w:rsidP="00000000" w:rsidRDefault="00000000" w:rsidRPr="00000000" w14:paraId="0000026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Facione, P. A. (1990). The California Critical Thinking Skills Test-College Level. Technical Report #1. Experimental Validation and Content Validity. In </w:t>
      </w:r>
      <w:r w:rsidDel="00000000" w:rsidR="00000000" w:rsidRPr="00000000">
        <w:rPr>
          <w:rFonts w:ascii="Times New Roman" w:cs="Times New Roman" w:eastAsia="Times New Roman" w:hAnsi="Times New Roman"/>
          <w:i w:val="1"/>
          <w:iCs w:val="1"/>
          <w:sz w:val="24"/>
          <w:szCs w:val="24"/>
          <w:rtl w:val="0"/>
        </w:rPr>
        <w:t xml:space="preserve">ERIC</w:t>
      </w:r>
      <w:r w:rsidDel="00000000" w:rsidR="00000000" w:rsidRPr="00000000">
        <w:rPr>
          <w:rFonts w:ascii="Times New Roman" w:cs="Times New Roman" w:eastAsia="Times New Roman" w:hAnsi="Times New Roman"/>
          <w:sz w:val="24"/>
          <w:szCs w:val="24"/>
          <w:rtl w:val="0"/>
        </w:rPr>
        <w:t xml:space="preserve">. California Academic Press, 217 La Cruz, Millbrae, CA 94030 ($10. https://eric.ed.gov/?id=ED327549</w:t>
      </w:r>
    </w:p>
    <w:p w:rsidR="00000000" w:rsidDel="00000000" w:rsidP="00000000" w:rsidRDefault="00000000" w:rsidRPr="00000000" w14:paraId="00000268">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Fornell, C., &amp; Larcker, D. F. (1981). Evaluating Structural Equation Models with Unobservable Variables and Measurement Error. </w:t>
      </w:r>
      <w:r w:rsidDel="00000000" w:rsidR="00000000" w:rsidRPr="00000000">
        <w:rPr>
          <w:rFonts w:ascii="Times New Roman" w:cs="Times New Roman" w:eastAsia="Times New Roman" w:hAnsi="Times New Roman"/>
          <w:i w:val="1"/>
          <w:iCs w:val="1"/>
          <w:sz w:val="24"/>
          <w:szCs w:val="24"/>
          <w:rtl w:val="0"/>
        </w:rPr>
        <w:t xml:space="preserve">Journal of Marketing Research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(1), 39–50. https://doi.org/10.2307/3151312</w:t>
      </w:r>
    </w:p>
    <w:p w:rsidR="00000000" w:rsidDel="00000000" w:rsidP="00000000" w:rsidRDefault="00000000" w:rsidRPr="00000000" w14:paraId="0000026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Foroughi, B., Madugoda Gunaratnege Senali, Iranmanesh, M., Khanfar, A., Morteza Ghobakhloo, Annamalai, N., &amp; Bita Naghmeh-Abbaspour. (2023). Determinants of Intention to Use ChatGPT for Educational Purposes: Findings from PLS-SEM and fsQCA. </w:t>
      </w:r>
      <w:r w:rsidDel="00000000" w:rsidR="00000000" w:rsidRPr="00000000">
        <w:rPr>
          <w:rFonts w:ascii="Times New Roman" w:cs="Times New Roman" w:eastAsia="Times New Roman" w:hAnsi="Times New Roman"/>
          <w:i w:val="1"/>
          <w:iCs w:val="1"/>
          <w:sz w:val="24"/>
          <w:szCs w:val="24"/>
          <w:rtl w:val="0"/>
        </w:rPr>
        <w:t xml:space="preserve">International Journal of Human–Computer Interaction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40</w:t>
      </w:r>
      <w:r w:rsidDel="00000000" w:rsidR="00000000" w:rsidRPr="00000000">
        <w:rPr>
          <w:rFonts w:ascii="Times New Roman" w:cs="Times New Roman" w:eastAsia="Times New Roman" w:hAnsi="Times New Roman"/>
          <w:sz w:val="24"/>
          <w:szCs w:val="24"/>
          <w:rtl w:val="0"/>
        </w:rPr>
        <w:t xml:space="preserve">(17), 1–20. https://doi.org/10.1080/10447318.2023.2226495</w:t>
      </w:r>
    </w:p>
    <w:p w:rsidR="00000000" w:rsidDel="00000000" w:rsidP="00000000" w:rsidRDefault="00000000" w:rsidRPr="00000000" w14:paraId="0000026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Ghaliya Al Farsi. (2023). The Efficiency of UTAUT2 Model in Predicting Student’s Acceptance of Using Virtual Reality Technology. </w:t>
      </w:r>
      <w:r w:rsidDel="00000000" w:rsidR="00000000" w:rsidRPr="00000000">
        <w:rPr>
          <w:rFonts w:ascii="Times New Roman" w:cs="Times New Roman" w:eastAsia="Times New Roman" w:hAnsi="Times New Roman"/>
          <w:i w:val="1"/>
          <w:iCs w:val="1"/>
          <w:sz w:val="24"/>
          <w:szCs w:val="24"/>
          <w:rtl w:val="0"/>
        </w:rPr>
        <w:t xml:space="preserve">International Journal of Interactive Mobile Technologies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(12), 17–27. https://doi.org/10.3991/ijim.v17i12.36951</w:t>
      </w:r>
    </w:p>
    <w:p w:rsidR="00000000" w:rsidDel="00000000" w:rsidP="00000000" w:rsidRDefault="00000000" w:rsidRPr="00000000" w14:paraId="0000026B">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GMI. (2023, January). </w:t>
      </w:r>
      <w:r w:rsidDel="00000000" w:rsidR="00000000" w:rsidRPr="00000000">
        <w:rPr>
          <w:rFonts w:ascii="Times New Roman" w:cs="Times New Roman" w:eastAsia="Times New Roman" w:hAnsi="Times New Roman"/>
          <w:i w:val="1"/>
          <w:iCs w:val="1"/>
          <w:sz w:val="24"/>
          <w:szCs w:val="24"/>
          <w:rtl w:val="0"/>
        </w:rPr>
        <w:t xml:space="preserve">AI in Education Market Size, Global Industry Forecast 2027</w:t>
      </w:r>
      <w:r w:rsidDel="00000000" w:rsidR="00000000" w:rsidRPr="00000000">
        <w:rPr>
          <w:rFonts w:ascii="Times New Roman" w:cs="Times New Roman" w:eastAsia="Times New Roman" w:hAnsi="Times New Roman"/>
          <w:sz w:val="24"/>
          <w:szCs w:val="24"/>
          <w:rtl w:val="0"/>
        </w:rPr>
        <w:t xml:space="preserve">. Global Market Insights, Inc. https://www.gminsights.com/industry-analysis/artificial-intelligence-ai-in-education-market</w:t>
      </w:r>
    </w:p>
    <w:p w:rsidR="00000000" w:rsidDel="00000000" w:rsidP="00000000" w:rsidRDefault="00000000" w:rsidRPr="00000000" w14:paraId="0000026C">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Hair, J. F., Hult, G. T. M., Ringle, C. M., &amp; Sarstedt, M. (2017). </w:t>
      </w:r>
      <w:r w:rsidDel="00000000" w:rsidR="00000000" w:rsidRPr="00000000">
        <w:rPr>
          <w:rFonts w:ascii="Times New Roman" w:cs="Times New Roman" w:eastAsia="Times New Roman" w:hAnsi="Times New Roman"/>
          <w:i w:val="1"/>
          <w:iCs w:val="1"/>
          <w:sz w:val="24"/>
          <w:szCs w:val="24"/>
          <w:rtl w:val="0"/>
        </w:rPr>
        <w:t xml:space="preserve">A Primer on Partial Least Squares Structural Equation Modeling (PLS-SEM)</w:t>
      </w:r>
      <w:r w:rsidDel="00000000" w:rsidR="00000000" w:rsidRPr="00000000">
        <w:rPr>
          <w:rFonts w:ascii="Times New Roman" w:cs="Times New Roman" w:eastAsia="Times New Roman" w:hAnsi="Times New Roman"/>
          <w:sz w:val="24"/>
          <w:szCs w:val="24"/>
          <w:rtl w:val="0"/>
        </w:rPr>
        <w:t xml:space="preserve">. Sage.</w:t>
      </w:r>
    </w:p>
    <w:p w:rsidR="00000000" w:rsidDel="00000000" w:rsidP="00000000" w:rsidRDefault="00000000" w:rsidRPr="00000000" w14:paraId="0000026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Hair, J. F., Hult, G. T. M., Ringle, C. M., Sarstedt, M., Danks, N. P., &amp; Ray, S. (2022). </w:t>
      </w:r>
      <w:r w:rsidDel="00000000" w:rsidR="00000000" w:rsidRPr="00000000">
        <w:rPr>
          <w:rFonts w:ascii="Times New Roman" w:cs="Times New Roman" w:eastAsia="Times New Roman" w:hAnsi="Times New Roman"/>
          <w:i w:val="1"/>
          <w:iCs w:val="1"/>
          <w:sz w:val="24"/>
          <w:szCs w:val="24"/>
          <w:rtl w:val="0"/>
        </w:rPr>
        <w:t xml:space="preserve">Partial least squares structural equation modeling (PLS-SEM) using R: a workbook</w:t>
      </w:r>
      <w:r w:rsidDel="00000000" w:rsidR="00000000" w:rsidRPr="00000000">
        <w:rPr>
          <w:rFonts w:ascii="Times New Roman" w:cs="Times New Roman" w:eastAsia="Times New Roman" w:hAnsi="Times New Roman"/>
          <w:sz w:val="24"/>
          <w:szCs w:val="24"/>
          <w:rtl w:val="0"/>
        </w:rPr>
        <w:t xml:space="preserve">. Springer.</w:t>
      </w:r>
    </w:p>
    <w:p w:rsidR="00000000" w:rsidDel="00000000" w:rsidP="00000000" w:rsidRDefault="00000000" w:rsidRPr="00000000" w14:paraId="0000026E">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Haleem, A., Javaid, M., Qadri, M. A., &amp; Suman, R. (2022). Understanding the role of digital technologies in education: A review. </w:t>
      </w:r>
      <w:r w:rsidDel="00000000" w:rsidR="00000000" w:rsidRPr="00000000">
        <w:rPr>
          <w:rFonts w:ascii="Times New Roman" w:cs="Times New Roman" w:eastAsia="Times New Roman" w:hAnsi="Times New Roman"/>
          <w:i w:val="1"/>
          <w:iCs w:val="1"/>
          <w:sz w:val="24"/>
          <w:szCs w:val="24"/>
          <w:rtl w:val="0"/>
        </w:rPr>
        <w:t xml:space="preserve">Sustainable Operations and Computers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(1), 275–285. https://doi.org/10.1016/j.susoc.2022.05.004</w:t>
      </w:r>
    </w:p>
    <w:p w:rsidR="00000000" w:rsidDel="00000000" w:rsidP="00000000" w:rsidRDefault="00000000" w:rsidRPr="00000000" w14:paraId="0000026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Henseler, J., Ringle, C. M., &amp; Sarstedt, M. (2015). A new criterion for assessing discriminant validity in variance-based structural equation modeling. </w:t>
      </w:r>
      <w:r w:rsidDel="00000000" w:rsidR="00000000" w:rsidRPr="00000000">
        <w:rPr>
          <w:rFonts w:ascii="Times New Roman" w:cs="Times New Roman" w:eastAsia="Times New Roman" w:hAnsi="Times New Roman"/>
          <w:i w:val="1"/>
          <w:iCs w:val="1"/>
          <w:sz w:val="24"/>
          <w:szCs w:val="24"/>
          <w:rtl w:val="0"/>
        </w:rPr>
        <w:t xml:space="preserve">Journal of the Academy of Marketing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(1), 115–135. https://doi.org/10.1007/s11747-014-0403-8</w:t>
      </w:r>
    </w:p>
    <w:p w:rsidR="00000000" w:rsidDel="00000000" w:rsidP="00000000" w:rsidRDefault="00000000" w:rsidRPr="00000000" w14:paraId="00000270">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Hong, F.-Y., Lin, C.-C., Lin, T.-J., &amp; Huang, D.-H. (2019). The relationship among the social norms of college students, and their interpersonal relationships, smartphone use, and smartphone addiction. </w:t>
      </w:r>
      <w:r w:rsidDel="00000000" w:rsidR="00000000" w:rsidRPr="00000000">
        <w:rPr>
          <w:rFonts w:ascii="Times New Roman" w:cs="Times New Roman" w:eastAsia="Times New Roman" w:hAnsi="Times New Roman"/>
          <w:i w:val="1"/>
          <w:iCs w:val="1"/>
          <w:sz w:val="24"/>
          <w:szCs w:val="24"/>
          <w:rtl w:val="0"/>
        </w:rPr>
        <w:t xml:space="preserve">Behaviour &amp; Information Technology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40</w:t>
      </w:r>
      <w:r w:rsidDel="00000000" w:rsidR="00000000" w:rsidRPr="00000000">
        <w:rPr>
          <w:rFonts w:ascii="Times New Roman" w:cs="Times New Roman" w:eastAsia="Times New Roman" w:hAnsi="Times New Roman"/>
          <w:sz w:val="24"/>
          <w:szCs w:val="24"/>
          <w:rtl w:val="0"/>
        </w:rPr>
        <w:t xml:space="preserve">(4), 1–12. https://doi.org/10.1080/0144929x.2019.1699959</w:t>
      </w:r>
    </w:p>
    <w:p w:rsidR="00000000" w:rsidDel="00000000" w:rsidP="00000000" w:rsidRDefault="00000000" w:rsidRPr="00000000" w14:paraId="0000027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 C., Zhu, G., &amp; Vidya Sudarshan. (2025). The role of critical thinking on undergraduates’ reliance behaviours on generative AI in problem‐solving. </w:t>
      </w:r>
      <w:r w:rsidDel="00000000" w:rsidR="00000000" w:rsidRPr="00000000">
        <w:rPr>
          <w:rFonts w:ascii="Times New Roman" w:cs="Times New Roman" w:eastAsia="Times New Roman" w:hAnsi="Times New Roman"/>
          <w:i w:val="1"/>
          <w:iCs w:val="1"/>
          <w:sz w:val="24"/>
          <w:szCs w:val="24"/>
          <w:rtl w:val="0"/>
        </w:rPr>
        <w:t xml:space="preserve">British Journal of Educational Technology</w:t>
      </w:r>
      <w:r w:rsidDel="00000000" w:rsidR="00000000" w:rsidRPr="00000000">
        <w:rPr>
          <w:rFonts w:ascii="Times New Roman" w:cs="Times New Roman" w:eastAsia="Times New Roman" w:hAnsi="Times New Roman"/>
          <w:sz w:val="24"/>
          <w:szCs w:val="24"/>
          <w:rtl w:val="0"/>
        </w:rPr>
        <w:t xml:space="preserve">. https://doi.org/10.1111/bjet.13613</w:t>
      </w:r>
    </w:p>
    <w:p w:rsidR="00000000" w:rsidDel="00000000" w:rsidP="00000000" w:rsidRDefault="00000000" w:rsidRPr="00000000" w14:paraId="00000272">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Huang, C. (2013). Gender differences in academic self-efficacy: a meta-analysis. </w:t>
      </w:r>
      <w:r w:rsidDel="00000000" w:rsidR="00000000" w:rsidRPr="00000000">
        <w:rPr>
          <w:rFonts w:ascii="Times New Roman" w:cs="Times New Roman" w:eastAsia="Times New Roman" w:hAnsi="Times New Roman"/>
          <w:i w:val="1"/>
          <w:iCs w:val="1"/>
          <w:sz w:val="24"/>
          <w:szCs w:val="24"/>
          <w:rtl w:val="0"/>
        </w:rPr>
        <w:t xml:space="preserve">European Journal of Psychology of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28</w:t>
      </w:r>
      <w:r w:rsidDel="00000000" w:rsidR="00000000" w:rsidRPr="00000000">
        <w:rPr>
          <w:rFonts w:ascii="Times New Roman" w:cs="Times New Roman" w:eastAsia="Times New Roman" w:hAnsi="Times New Roman"/>
          <w:sz w:val="24"/>
          <w:szCs w:val="24"/>
          <w:rtl w:val="0"/>
        </w:rPr>
        <w:t xml:space="preserve">(1), 1–35. https://doi.org/10.1007/s10212-011-0097-y</w:t>
      </w:r>
    </w:p>
    <w:p w:rsidR="00000000" w:rsidDel="00000000" w:rsidP="00000000" w:rsidRDefault="00000000" w:rsidRPr="00000000" w14:paraId="00000273">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Leguina, A. (2015). A primer on partial least squares structural equation modeling (PLS-SEM). </w:t>
      </w:r>
      <w:r w:rsidDel="00000000" w:rsidR="00000000" w:rsidRPr="00000000">
        <w:rPr>
          <w:rFonts w:ascii="Times New Roman" w:cs="Times New Roman" w:eastAsia="Times New Roman" w:hAnsi="Times New Roman"/>
          <w:i w:val="1"/>
          <w:iCs w:val="1"/>
          <w:sz w:val="24"/>
          <w:szCs w:val="24"/>
          <w:rtl w:val="0"/>
        </w:rPr>
        <w:t xml:space="preserve">International Journal of Research &amp; Method in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(2), 220–221. https://doi.org/10.1080/1743727x.2015.1005806</w:t>
      </w:r>
    </w:p>
    <w:p w:rsidR="00000000" w:rsidDel="00000000" w:rsidP="00000000" w:rsidRDefault="00000000" w:rsidRPr="00000000" w14:paraId="00000274">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Lewis, A., &amp; Smith, D. (1993). Defining higher order thinking. </w:t>
      </w:r>
      <w:r w:rsidDel="00000000" w:rsidR="00000000" w:rsidRPr="00000000">
        <w:rPr>
          <w:rFonts w:ascii="Times New Roman" w:cs="Times New Roman" w:eastAsia="Times New Roman" w:hAnsi="Times New Roman"/>
          <w:i w:val="1"/>
          <w:iCs w:val="1"/>
          <w:sz w:val="24"/>
          <w:szCs w:val="24"/>
          <w:rtl w:val="0"/>
        </w:rPr>
        <w:t xml:space="preserve">Theory into Practice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32</w:t>
      </w:r>
      <w:r w:rsidDel="00000000" w:rsidR="00000000" w:rsidRPr="00000000">
        <w:rPr>
          <w:rFonts w:ascii="Times New Roman" w:cs="Times New Roman" w:eastAsia="Times New Roman" w:hAnsi="Times New Roman"/>
          <w:sz w:val="24"/>
          <w:szCs w:val="24"/>
          <w:rtl w:val="0"/>
        </w:rPr>
        <w:t xml:space="preserve">(3), 131–137. https://doi.org/10.1080/00405849309543588</w:t>
      </w:r>
    </w:p>
    <w:p w:rsidR="00000000" w:rsidDel="00000000" w:rsidP="00000000" w:rsidRDefault="00000000" w:rsidRPr="00000000" w14:paraId="0000027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Morales-García, W. C., Sairitupa-Sanchez, L. Z., Morales-García, S. B., &amp; Morales-García, M. (2024). Development and validation of a scale for dependence on artificial intelligence in university students. </w:t>
      </w:r>
      <w:r w:rsidDel="00000000" w:rsidR="00000000" w:rsidRPr="00000000">
        <w:rPr>
          <w:rFonts w:ascii="Times New Roman" w:cs="Times New Roman" w:eastAsia="Times New Roman" w:hAnsi="Times New Roman"/>
          <w:i w:val="1"/>
          <w:iCs w:val="1"/>
          <w:sz w:val="24"/>
          <w:szCs w:val="24"/>
          <w:rtl w:val="0"/>
        </w:rPr>
        <w:t xml:space="preserve">Frontiers in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 https://doi.org/10.3389/feduc.2024.1323898</w:t>
      </w:r>
    </w:p>
    <w:p w:rsidR="00000000" w:rsidDel="00000000" w:rsidP="00000000" w:rsidRDefault="00000000" w:rsidRPr="00000000" w14:paraId="0000027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Multon, K. D., Brown, S. D., &amp; Lent, R. W. (1991). Relation of self-efficacy beliefs to academic outcomes: A meta-analytic investigation. </w:t>
      </w:r>
      <w:r w:rsidDel="00000000" w:rsidR="00000000" w:rsidRPr="00000000">
        <w:rPr>
          <w:rFonts w:ascii="Times New Roman" w:cs="Times New Roman" w:eastAsia="Times New Roman" w:hAnsi="Times New Roman"/>
          <w:i w:val="1"/>
          <w:iCs w:val="1"/>
          <w:sz w:val="24"/>
          <w:szCs w:val="24"/>
          <w:rtl w:val="0"/>
        </w:rPr>
        <w:t xml:space="preserve">Journal of Counseling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(1), 30–38. https://doi.org/10.1037/0022-0167.38.1.30</w:t>
      </w:r>
    </w:p>
    <w:p w:rsidR="00000000" w:rsidDel="00000000" w:rsidP="00000000" w:rsidRDefault="00000000" w:rsidRPr="00000000" w14:paraId="0000027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Nelly Rigaud Téllez, Patricia Rayón Villela, &amp; Roberto Blanco Bautista. (2024). Evaluating ChatGPT-Generated Linear Algebra Formative Assessments. </w:t>
      </w:r>
      <w:r w:rsidDel="00000000" w:rsidR="00000000" w:rsidRPr="00000000">
        <w:rPr>
          <w:rFonts w:ascii="Times New Roman" w:cs="Times New Roman" w:eastAsia="Times New Roman" w:hAnsi="Times New Roman"/>
          <w:i w:val="1"/>
          <w:iCs w:val="1"/>
          <w:sz w:val="24"/>
          <w:szCs w:val="24"/>
          <w:rtl w:val="0"/>
        </w:rPr>
        <w:t xml:space="preserve">International Journal of Interactive Multimedia and Artificial Intelligence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(5), 75–75. https://doi.org/10.9781/ijimai.2024.02.004</w:t>
      </w:r>
    </w:p>
    <w:p w:rsidR="00000000" w:rsidDel="00000000" w:rsidP="00000000" w:rsidRDefault="00000000" w:rsidRPr="00000000" w14:paraId="0000027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Nikolic, S., Daniel, S., Haque, R., Belkina, M., Ghulam Mubashar Hassan, Grundy, S., Lyden, S., Neal, P. R., &amp; Sandison, C. (2023). ChatGPT versus engineering education assessment: a multidisciplinary and multi-institutional benchmarking and analysis of this generative artificial intelligence tool to investigate assessment integrity. </w:t>
      </w:r>
      <w:r w:rsidDel="00000000" w:rsidR="00000000" w:rsidRPr="00000000">
        <w:rPr>
          <w:rFonts w:ascii="Times New Roman" w:cs="Times New Roman" w:eastAsia="Times New Roman" w:hAnsi="Times New Roman"/>
          <w:i w:val="1"/>
          <w:iCs w:val="1"/>
          <w:sz w:val="24"/>
          <w:szCs w:val="24"/>
          <w:rtl w:val="0"/>
        </w:rPr>
        <w:t xml:space="preserve">European Journal of Engineering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48</w:t>
      </w:r>
      <w:r w:rsidDel="00000000" w:rsidR="00000000" w:rsidRPr="00000000">
        <w:rPr>
          <w:rFonts w:ascii="Times New Roman" w:cs="Times New Roman" w:eastAsia="Times New Roman" w:hAnsi="Times New Roman"/>
          <w:sz w:val="24"/>
          <w:szCs w:val="24"/>
          <w:rtl w:val="0"/>
        </w:rPr>
        <w:t xml:space="preserve">(4), 1–56. https://doi.org/10.1080/03043797.2023.2213169</w:t>
      </w:r>
    </w:p>
    <w:p w:rsidR="00000000" w:rsidDel="00000000" w:rsidP="00000000" w:rsidRDefault="00000000" w:rsidRPr="00000000" w14:paraId="0000027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 C. P. (2023). Towards an integrated model: Task-Technology fit in Unified Theory of Acceptance and Use of Technology 2 in education contexts. </w:t>
      </w:r>
      <w:r w:rsidDel="00000000" w:rsidR="00000000" w:rsidRPr="00000000">
        <w:rPr>
          <w:rFonts w:ascii="Times New Roman" w:cs="Times New Roman" w:eastAsia="Times New Roman" w:hAnsi="Times New Roman"/>
          <w:i w:val="1"/>
          <w:iCs w:val="1"/>
          <w:sz w:val="24"/>
          <w:szCs w:val="24"/>
          <w:rtl w:val="0"/>
        </w:rPr>
        <w:t xml:space="preserve">Journal of Applied Learning &amp; Teaching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(1). https://doi.org/10.37074/jalt.2023.6.1.8</w:t>
      </w:r>
    </w:p>
    <w:p w:rsidR="00000000" w:rsidDel="00000000" w:rsidP="00000000" w:rsidRDefault="00000000" w:rsidRPr="00000000" w14:paraId="0000027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 R. (2013). </w:t>
      </w:r>
      <w:r w:rsidDel="00000000" w:rsidR="00000000" w:rsidRPr="00000000">
        <w:rPr>
          <w:rFonts w:ascii="Times New Roman" w:cs="Times New Roman" w:eastAsia="Times New Roman" w:hAnsi="Times New Roman"/>
          <w:i w:val="1"/>
          <w:iCs w:val="1"/>
          <w:sz w:val="24"/>
          <w:szCs w:val="24"/>
          <w:rtl w:val="0"/>
        </w:rPr>
        <w:t xml:space="preserve">Critical thinking: Tools for taking charge of your learning and your life</w:t>
      </w:r>
      <w:r w:rsidDel="00000000" w:rsidR="00000000" w:rsidRPr="00000000">
        <w:rPr>
          <w:rFonts w:ascii="Times New Roman" w:cs="Times New Roman" w:eastAsia="Times New Roman" w:hAnsi="Times New Roman"/>
          <w:sz w:val="24"/>
          <w:szCs w:val="24"/>
          <w:rtl w:val="0"/>
        </w:rPr>
        <w:t xml:space="preserve">. Pearson Education Limited.</w:t>
      </w:r>
    </w:p>
    <w:p w:rsidR="00000000" w:rsidDel="00000000" w:rsidP="00000000" w:rsidRDefault="00000000" w:rsidRPr="00000000" w14:paraId="0000027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 R., &amp; Elder, L. (2014). </w:t>
      </w:r>
      <w:r w:rsidDel="00000000" w:rsidR="00000000" w:rsidRPr="00000000">
        <w:rPr>
          <w:rFonts w:ascii="Times New Roman" w:cs="Times New Roman" w:eastAsia="Times New Roman" w:hAnsi="Times New Roman"/>
          <w:i w:val="1"/>
          <w:iCs w:val="1"/>
          <w:sz w:val="24"/>
          <w:szCs w:val="24"/>
          <w:rtl w:val="0"/>
        </w:rPr>
        <w:t xml:space="preserve">Critical thinking : tools for taking charge of your professional and personal life</w:t>
      </w:r>
      <w:r w:rsidDel="00000000" w:rsidR="00000000" w:rsidRPr="00000000">
        <w:rPr>
          <w:rFonts w:ascii="Times New Roman" w:cs="Times New Roman" w:eastAsia="Times New Roman" w:hAnsi="Times New Roman"/>
          <w:sz w:val="24"/>
          <w:szCs w:val="24"/>
          <w:rtl w:val="0"/>
        </w:rPr>
        <w:t xml:space="preserve">. Pearson Education.</w:t>
      </w:r>
    </w:p>
    <w:p w:rsidR="00000000" w:rsidDel="00000000" w:rsidP="00000000" w:rsidRDefault="00000000" w:rsidRPr="00000000" w14:paraId="0000027C">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Phan, H. P. (2010). Students’ academic performance and various cognitive processes of learning: an integrative framework and empirical analysis. </w:t>
      </w:r>
      <w:r w:rsidDel="00000000" w:rsidR="00000000" w:rsidRPr="00000000">
        <w:rPr>
          <w:rFonts w:ascii="Times New Roman" w:cs="Times New Roman" w:eastAsia="Times New Roman" w:hAnsi="Times New Roman"/>
          <w:i w:val="1"/>
          <w:iCs w:val="1"/>
          <w:sz w:val="24"/>
          <w:szCs w:val="24"/>
          <w:rtl w:val="0"/>
        </w:rPr>
        <w:t xml:space="preserve">Educational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30</w:t>
      </w:r>
      <w:r w:rsidDel="00000000" w:rsidR="00000000" w:rsidRPr="00000000">
        <w:rPr>
          <w:rFonts w:ascii="Times New Roman" w:cs="Times New Roman" w:eastAsia="Times New Roman" w:hAnsi="Times New Roman"/>
          <w:sz w:val="24"/>
          <w:szCs w:val="24"/>
          <w:rtl w:val="0"/>
        </w:rPr>
        <w:t xml:space="preserve">(3), 297–322. https://doi.org/10.1080/01443410903573297</w:t>
      </w:r>
    </w:p>
    <w:p w:rsidR="00000000" w:rsidDel="00000000" w:rsidP="00000000" w:rsidRDefault="00000000" w:rsidRPr="00000000" w14:paraId="0000027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Popenici, S. A. D., &amp; Kerr, S. (2017). Exploring the Impact of Artificial Intelligence on Teaching and Learning in Higher Education. </w:t>
      </w:r>
      <w:r w:rsidDel="00000000" w:rsidR="00000000" w:rsidRPr="00000000">
        <w:rPr>
          <w:rFonts w:ascii="Times New Roman" w:cs="Times New Roman" w:eastAsia="Times New Roman" w:hAnsi="Times New Roman"/>
          <w:i w:val="1"/>
          <w:iCs w:val="1"/>
          <w:sz w:val="24"/>
          <w:szCs w:val="24"/>
          <w:rtl w:val="0"/>
        </w:rPr>
        <w:t xml:space="preserve">Research and Practice in Technology Enhanced Learning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(1), 1–13. https://doi.org/10.1186/s41039-017-0062-8</w:t>
      </w:r>
    </w:p>
    <w:p w:rsidR="00000000" w:rsidDel="00000000" w:rsidP="00000000" w:rsidRDefault="00000000" w:rsidRPr="00000000" w14:paraId="0000027E">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Rahman, Md. M., &amp; Watanobe, Y. (2023). ChatGPT for Education and Research: Opportunities, Threats, and Strategies. </w:t>
      </w:r>
      <w:r w:rsidDel="00000000" w:rsidR="00000000" w:rsidRPr="00000000">
        <w:rPr>
          <w:rFonts w:ascii="Times New Roman" w:cs="Times New Roman" w:eastAsia="Times New Roman" w:hAnsi="Times New Roman"/>
          <w:i w:val="1"/>
          <w:iCs w:val="1"/>
          <w:sz w:val="24"/>
          <w:szCs w:val="24"/>
          <w:rtl w:val="0"/>
        </w:rPr>
        <w:t xml:space="preserve">Applied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13</w:t>
      </w:r>
      <w:r w:rsidDel="00000000" w:rsidR="00000000" w:rsidRPr="00000000">
        <w:rPr>
          <w:rFonts w:ascii="Times New Roman" w:cs="Times New Roman" w:eastAsia="Times New Roman" w:hAnsi="Times New Roman"/>
          <w:sz w:val="24"/>
          <w:szCs w:val="24"/>
          <w:rtl w:val="0"/>
        </w:rPr>
        <w:t xml:space="preserve">(9). https://doi.org/10.3390/app13095783</w:t>
      </w:r>
    </w:p>
    <w:p w:rsidR="00000000" w:rsidDel="00000000" w:rsidP="00000000" w:rsidRDefault="00000000" w:rsidRPr="00000000" w14:paraId="0000027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Rainer, K., &amp; Prince, B. (2015). </w:t>
      </w:r>
      <w:r w:rsidDel="00000000" w:rsidR="00000000" w:rsidRPr="00000000">
        <w:rPr>
          <w:rFonts w:ascii="Times New Roman" w:cs="Times New Roman" w:eastAsia="Times New Roman" w:hAnsi="Times New Roman"/>
          <w:i w:val="1"/>
          <w:iCs w:val="1"/>
          <w:sz w:val="24"/>
          <w:szCs w:val="24"/>
          <w:rtl w:val="0"/>
        </w:rPr>
        <w:t xml:space="preserve">Introduction to information systems</w:t>
      </w:r>
      <w:r w:rsidDel="00000000" w:rsidR="00000000" w:rsidRPr="00000000">
        <w:rPr>
          <w:rFonts w:ascii="Times New Roman" w:cs="Times New Roman" w:eastAsia="Times New Roman" w:hAnsi="Times New Roman"/>
          <w:sz w:val="24"/>
          <w:szCs w:val="24"/>
          <w:rtl w:val="0"/>
        </w:rPr>
        <w:t xml:space="preserve"> (9th ed.). John Wiley &amp; Sons, Inc.</w:t>
      </w:r>
    </w:p>
    <w:p w:rsidR="00000000" w:rsidDel="00000000" w:rsidP="00000000" w:rsidRDefault="00000000" w:rsidRPr="00000000" w14:paraId="00000280">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Rashid, S. (2025). Habit Predicting Higher Education EFL Students’ Intention and Use of AI: A Nexus of UTAUT-2 Model and Metacognition Theory. </w:t>
      </w:r>
      <w:r w:rsidDel="00000000" w:rsidR="00000000" w:rsidRPr="00000000">
        <w:rPr>
          <w:rFonts w:ascii="Times New Roman" w:cs="Times New Roman" w:eastAsia="Times New Roman" w:hAnsi="Times New Roman"/>
          <w:i w:val="1"/>
          <w:iCs w:val="1"/>
          <w:sz w:val="24"/>
          <w:szCs w:val="24"/>
          <w:rtl w:val="0"/>
        </w:rPr>
        <w:t xml:space="preserve">Education Sciences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(6), 756. https://doi.org/10.3390/educsci15060756</w:t>
      </w:r>
    </w:p>
    <w:p w:rsidR="00000000" w:rsidDel="00000000" w:rsidP="00000000" w:rsidRDefault="00000000" w:rsidRPr="00000000" w14:paraId="0000028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Schwarzer, R. (2014). </w:t>
      </w:r>
      <w:r w:rsidDel="00000000" w:rsidR="00000000" w:rsidRPr="00000000">
        <w:rPr>
          <w:rFonts w:ascii="Times New Roman" w:cs="Times New Roman" w:eastAsia="Times New Roman" w:hAnsi="Times New Roman"/>
          <w:i w:val="1"/>
          <w:iCs w:val="1"/>
          <w:sz w:val="24"/>
          <w:szCs w:val="24"/>
          <w:rtl w:val="0"/>
        </w:rPr>
        <w:t xml:space="preserve">Self-Efficacy: Thought control of action</w:t>
      </w:r>
      <w:r w:rsidDel="00000000" w:rsidR="00000000" w:rsidRPr="00000000">
        <w:rPr>
          <w:rFonts w:ascii="Times New Roman" w:cs="Times New Roman" w:eastAsia="Times New Roman" w:hAnsi="Times New Roman"/>
          <w:sz w:val="24"/>
          <w:szCs w:val="24"/>
          <w:rtl w:val="0"/>
        </w:rPr>
        <w:t xml:space="preserve">. Taylor &amp; Francis. https://doi.org/10.4324/9781315800820</w:t>
      </w:r>
    </w:p>
    <w:p w:rsidR="00000000" w:rsidDel="00000000" w:rsidP="00000000" w:rsidRDefault="00000000" w:rsidRPr="00000000" w14:paraId="00000282">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Sedigheh Shakib Kotamjani, Sojida Shirinova, &amp; Mehrnaz Fahimirad. (2023). Lecturers perceptions of using Artificial Intelligence in Tertiary Education in Uzbekistan. </w:t>
      </w:r>
      <w:r w:rsidDel="00000000" w:rsidR="00000000" w:rsidRPr="00000000">
        <w:rPr>
          <w:rFonts w:ascii="Times New Roman" w:cs="Times New Roman" w:eastAsia="Times New Roman" w:hAnsi="Times New Roman"/>
          <w:i w:val="1"/>
          <w:iCs w:val="1"/>
          <w:sz w:val="24"/>
          <w:szCs w:val="24"/>
          <w:rtl w:val="0"/>
        </w:rPr>
        <w:t xml:space="preserve">Lecturers Perceptions of Using Artificial Intelligence in Tertiary Education in Uzbekistan</w:t>
      </w:r>
      <w:r w:rsidDel="00000000" w:rsidR="00000000" w:rsidRPr="00000000">
        <w:rPr>
          <w:rFonts w:ascii="Times New Roman" w:cs="Times New Roman" w:eastAsia="Times New Roman" w:hAnsi="Times New Roman"/>
          <w:sz w:val="24"/>
          <w:szCs w:val="24"/>
          <w:rtl w:val="0"/>
        </w:rPr>
        <w:t xml:space="preserve">. https://doi.org/10.1145/3644713.3644797</w:t>
      </w:r>
    </w:p>
    <w:p w:rsidR="00000000" w:rsidDel="00000000" w:rsidP="00000000" w:rsidRDefault="00000000" w:rsidRPr="00000000" w14:paraId="00000283">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Singh, P., Sinha, R., Koay, W. L., Teoh, K. B., Nayak, P., Lim, C. H., Dubey, A. K., Das, A., Faturrahman, I., &amp; Aryani, D. N. (2021). A Comparative Study on Effectiveness of Online and Offline Learning in Higher Education. </w:t>
      </w:r>
      <w:r w:rsidDel="00000000" w:rsidR="00000000" w:rsidRPr="00000000">
        <w:rPr>
          <w:rFonts w:ascii="Times New Roman" w:cs="Times New Roman" w:eastAsia="Times New Roman" w:hAnsi="Times New Roman"/>
          <w:i w:val="1"/>
          <w:iCs w:val="1"/>
          <w:sz w:val="24"/>
          <w:szCs w:val="24"/>
          <w:rtl w:val="0"/>
        </w:rPr>
        <w:t xml:space="preserve">International Journal of Tourism and Hospitality in Asia Pacific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(3), 102–114. https://doi.org/10.32535/ijthap.v4i3.1212</w:t>
      </w:r>
    </w:p>
    <w:p w:rsidR="00000000" w:rsidDel="00000000" w:rsidP="00000000" w:rsidRDefault="00000000" w:rsidRPr="00000000" w14:paraId="00000284">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Sternberg, R. J. (1986). Critical Thinking: Its Nature, Measurement, and Improvement. </w:t>
      </w:r>
      <w:r w:rsidDel="00000000" w:rsidR="00000000" w:rsidRPr="00000000">
        <w:rPr>
          <w:rFonts w:ascii="Times New Roman" w:cs="Times New Roman" w:eastAsia="Times New Roman" w:hAnsi="Times New Roman"/>
          <w:i w:val="1"/>
          <w:iCs w:val="1"/>
          <w:sz w:val="24"/>
          <w:szCs w:val="24"/>
          <w:rtl w:val="0"/>
        </w:rPr>
        <w:t xml:space="preserve">ERIC</w:t>
      </w:r>
      <w:r w:rsidDel="00000000" w:rsidR="00000000" w:rsidRPr="00000000">
        <w:rPr>
          <w:rFonts w:ascii="Times New Roman" w:cs="Times New Roman" w:eastAsia="Times New Roman" w:hAnsi="Times New Roman"/>
          <w:sz w:val="24"/>
          <w:szCs w:val="24"/>
          <w:rtl w:val="0"/>
        </w:rPr>
        <w:t xml:space="preserve">. https://eric.ed.gov/?id=ED272882</w:t>
      </w:r>
    </w:p>
    <w:p w:rsidR="00000000" w:rsidDel="00000000" w:rsidP="00000000" w:rsidRDefault="00000000" w:rsidRPr="00000000" w14:paraId="0000028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Sullivan, M., Kelly, A., &amp; McLaughlan, P. (2023). ChatGPT in higher education: Considerations for academic integrity and student learning. </w:t>
      </w:r>
      <w:r w:rsidDel="00000000" w:rsidR="00000000" w:rsidRPr="00000000">
        <w:rPr>
          <w:rFonts w:ascii="Times New Roman" w:cs="Times New Roman" w:eastAsia="Times New Roman" w:hAnsi="Times New Roman"/>
          <w:i w:val="1"/>
          <w:iCs w:val="1"/>
          <w:sz w:val="24"/>
          <w:szCs w:val="24"/>
          <w:rtl w:val="0"/>
        </w:rPr>
        <w:t xml:space="preserve">Journal of Applied Learning &amp; Teaching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(1), 1–10. https://doi.org/10.37074/jalt.2023.6.1.17</w:t>
      </w:r>
    </w:p>
    <w:p w:rsidR="00000000" w:rsidDel="00000000" w:rsidP="00000000" w:rsidRDefault="00000000" w:rsidRPr="00000000" w14:paraId="0000028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Suriano, R., Plebe, A., Acciai, A., &amp; Fabio, R. A. (2024). Student interaction with ChatGPT can promote complex critical thinking skills. </w:t>
      </w:r>
      <w:r w:rsidDel="00000000" w:rsidR="00000000" w:rsidRPr="00000000">
        <w:rPr>
          <w:rFonts w:ascii="Times New Roman" w:cs="Times New Roman" w:eastAsia="Times New Roman" w:hAnsi="Times New Roman"/>
          <w:i w:val="1"/>
          <w:iCs w:val="1"/>
          <w:sz w:val="24"/>
          <w:szCs w:val="24"/>
          <w:rtl w:val="0"/>
        </w:rPr>
        <w:t xml:space="preserve">Learning and Instruction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95</w:t>
      </w:r>
      <w:r w:rsidDel="00000000" w:rsidR="00000000" w:rsidRPr="00000000">
        <w:rPr>
          <w:rFonts w:ascii="Times New Roman" w:cs="Times New Roman" w:eastAsia="Times New Roman" w:hAnsi="Times New Roman"/>
          <w:sz w:val="24"/>
          <w:szCs w:val="24"/>
          <w:rtl w:val="0"/>
        </w:rPr>
        <w:t xml:space="preserve">, 102011–102011. https://doi.org/10.1016/j.learninstruc.2024.102011</w:t>
      </w:r>
    </w:p>
    <w:p w:rsidR="00000000" w:rsidDel="00000000" w:rsidP="00000000" w:rsidRDefault="00000000" w:rsidRPr="00000000" w14:paraId="0000028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Tamilmani, K., Rana, N. P., &amp; Dwivedi, Y. K. (2020). Consumer Acceptance and Use of Information Technology: A Meta-Analytic Evaluation of UTAUT2. </w:t>
      </w:r>
      <w:r w:rsidDel="00000000" w:rsidR="00000000" w:rsidRPr="00000000">
        <w:rPr>
          <w:rFonts w:ascii="Times New Roman" w:cs="Times New Roman" w:eastAsia="Times New Roman" w:hAnsi="Times New Roman"/>
          <w:i w:val="1"/>
          <w:iCs w:val="1"/>
          <w:sz w:val="24"/>
          <w:szCs w:val="24"/>
          <w:rtl w:val="0"/>
        </w:rPr>
        <w:t xml:space="preserve">Information Systems Frontiers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23</w:t>
      </w:r>
      <w:r w:rsidDel="00000000" w:rsidR="00000000" w:rsidRPr="00000000">
        <w:rPr>
          <w:rFonts w:ascii="Times New Roman" w:cs="Times New Roman" w:eastAsia="Times New Roman" w:hAnsi="Times New Roman"/>
          <w:sz w:val="24"/>
          <w:szCs w:val="24"/>
          <w:rtl w:val="0"/>
        </w:rPr>
        <w:t xml:space="preserve">(4). https://doi.org/10.1007/s10796-020-10007-6</w:t>
      </w:r>
    </w:p>
    <w:p w:rsidR="00000000" w:rsidDel="00000000" w:rsidP="00000000" w:rsidRDefault="00000000" w:rsidRPr="00000000" w14:paraId="0000028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K. (2023). Supporting students and educators in using generative artificial intelligence. </w:t>
      </w:r>
      <w:r w:rsidDel="00000000" w:rsidR="00000000" w:rsidRPr="00000000">
        <w:rPr>
          <w:rFonts w:ascii="Times New Roman" w:cs="Times New Roman" w:eastAsia="Times New Roman" w:hAnsi="Times New Roman"/>
          <w:i w:val="1"/>
          <w:iCs w:val="1"/>
          <w:sz w:val="24"/>
          <w:szCs w:val="24"/>
          <w:rtl w:val="0"/>
        </w:rPr>
        <w:t xml:space="preserve">ASCILITE Publications</w:t>
      </w:r>
      <w:r w:rsidDel="00000000" w:rsidR="00000000" w:rsidRPr="00000000">
        <w:rPr>
          <w:rFonts w:ascii="Times New Roman" w:cs="Times New Roman" w:eastAsia="Times New Roman" w:hAnsi="Times New Roman"/>
          <w:sz w:val="24"/>
          <w:szCs w:val="24"/>
          <w:rtl w:val="0"/>
        </w:rPr>
        <w:t xml:space="preserve">. https://doi.org/10.14742/apubs.2023.538</w:t>
      </w:r>
    </w:p>
    <w:p w:rsidR="00000000" w:rsidDel="00000000" w:rsidP="00000000" w:rsidRDefault="00000000" w:rsidRPr="00000000" w14:paraId="0000028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Thayer-Bacon, B. J. (2000). </w:t>
      </w:r>
      <w:r w:rsidDel="00000000" w:rsidR="00000000" w:rsidRPr="00000000">
        <w:rPr>
          <w:rFonts w:ascii="Times New Roman" w:cs="Times New Roman" w:eastAsia="Times New Roman" w:hAnsi="Times New Roman"/>
          <w:i w:val="1"/>
          <w:iCs w:val="1"/>
          <w:sz w:val="24"/>
          <w:szCs w:val="24"/>
          <w:rtl w:val="0"/>
        </w:rPr>
        <w:t xml:space="preserve">Transforming critical thinking : thinking constructively</w:t>
      </w:r>
      <w:r w:rsidDel="00000000" w:rsidR="00000000" w:rsidRPr="00000000">
        <w:rPr>
          <w:rFonts w:ascii="Times New Roman" w:cs="Times New Roman" w:eastAsia="Times New Roman" w:hAnsi="Times New Roman"/>
          <w:sz w:val="24"/>
          <w:szCs w:val="24"/>
          <w:rtl w:val="0"/>
        </w:rPr>
        <w:t xml:space="preserve">. Teachers College Press.</w:t>
      </w:r>
    </w:p>
    <w:p w:rsidR="00000000" w:rsidDel="00000000" w:rsidP="00000000" w:rsidRDefault="00000000" w:rsidRPr="00000000" w14:paraId="0000028A">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Thompson, A., Ralston, P., &amp; Hieb, J. (2012). </w:t>
      </w:r>
      <w:r w:rsidDel="00000000" w:rsidR="00000000" w:rsidRPr="00000000">
        <w:rPr>
          <w:rFonts w:ascii="Times New Roman" w:cs="Times New Roman" w:eastAsia="Times New Roman" w:hAnsi="Times New Roman"/>
          <w:i w:val="1"/>
          <w:iCs w:val="1"/>
          <w:sz w:val="24"/>
          <w:szCs w:val="24"/>
          <w:rtl w:val="0"/>
        </w:rPr>
        <w:t xml:space="preserve">Engaging freshman engineers using the Paul–Elder model of critical thinking</w:t>
      </w:r>
      <w:r w:rsidDel="00000000" w:rsidR="00000000" w:rsidRPr="00000000">
        <w:rPr>
          <w:rFonts w:ascii="Times New Roman" w:cs="Times New Roman" w:eastAsia="Times New Roman" w:hAnsi="Times New Roman"/>
          <w:sz w:val="24"/>
          <w:szCs w:val="24"/>
          <w:rtl w:val="0"/>
        </w:rPr>
        <w:t xml:space="preserve">. American Society for Engineering Education (ASEE).</w:t>
      </w:r>
    </w:p>
    <w:p w:rsidR="00000000" w:rsidDel="00000000" w:rsidP="00000000" w:rsidRDefault="00000000" w:rsidRPr="00000000" w14:paraId="0000028B">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 N. M., Rate, T. K. S., &amp; Thao, N. N. (2020). Effects of using E-learning system on learning outcomes of students in Can Tho University. </w:t>
      </w:r>
      <w:r w:rsidDel="00000000" w:rsidR="00000000" w:rsidRPr="00000000">
        <w:rPr>
          <w:rFonts w:ascii="Times New Roman" w:cs="Times New Roman" w:eastAsia="Times New Roman" w:hAnsi="Times New Roman"/>
          <w:i w:val="1"/>
          <w:iCs w:val="1"/>
          <w:sz w:val="24"/>
          <w:szCs w:val="24"/>
          <w:rtl w:val="0"/>
        </w:rPr>
        <w:t xml:space="preserve">Can Tho University Journal of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(3), 27–37. https://doi.org/10.22144/ctu.jen.2020.021</w:t>
      </w:r>
    </w:p>
    <w:p w:rsidR="00000000" w:rsidDel="00000000" w:rsidP="00000000" w:rsidRDefault="00000000" w:rsidRPr="00000000" w14:paraId="0000028C">
      <w:pPr>
        <w:spacing w:after="288" w:before="48.00000000000001"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UNESCO. (2023). </w:t>
      </w:r>
      <w:r w:rsidDel="00000000" w:rsidR="00000000" w:rsidRPr="00000000">
        <w:rPr>
          <w:rFonts w:ascii="Times New Roman" w:cs="Times New Roman" w:eastAsia="Times New Roman" w:hAnsi="Times New Roman"/>
          <w:i w:val="1"/>
          <w:iCs w:val="1"/>
          <w:sz w:val="24"/>
          <w:szCs w:val="24"/>
          <w:rtl w:val="0"/>
        </w:rPr>
        <w:t xml:space="preserve">Global education monitoring report, 2023: Technology in education: A tool on whose terms?</w:t>
      </w:r>
      <w:r w:rsidDel="00000000" w:rsidR="00000000" w:rsidRPr="00000000">
        <w:rPr>
          <w:rFonts w:ascii="Times New Roman" w:cs="Times New Roman" w:eastAsia="Times New Roman" w:hAnsi="Times New Roman"/>
          <w:sz w:val="24"/>
          <w:szCs w:val="24"/>
          <w:rtl w:val="0"/>
        </w:rPr>
        <w:t xml:space="preserve"> Unesco.org; UNESCO. https://unesdoc.unesco.org/ark:/48223/pf0000385723</w:t>
      </w:r>
    </w:p>
    <w:p w:rsidR="00000000" w:rsidDel="00000000" w:rsidP="00000000" w:rsidRDefault="00000000" w:rsidRPr="00000000" w14:paraId="0000028D">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Vachova, L., Sedlakova, E., &amp; Kvintova, J. (2023). Academic Self-efficacy as a Precondition for Critical Thinking in University Students. </w:t>
      </w:r>
      <w:r w:rsidDel="00000000" w:rsidR="00000000" w:rsidRPr="00000000">
        <w:rPr>
          <w:rFonts w:ascii="Times New Roman" w:cs="Times New Roman" w:eastAsia="Times New Roman" w:hAnsi="Times New Roman"/>
          <w:i w:val="1"/>
          <w:iCs w:val="1"/>
          <w:sz w:val="24"/>
          <w:szCs w:val="24"/>
          <w:rtl w:val="0"/>
        </w:rPr>
        <w:t xml:space="preserve">Pegem Journal of Education and Instruction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13</w:t>
      </w:r>
      <w:r w:rsidDel="00000000" w:rsidR="00000000" w:rsidRPr="00000000">
        <w:rPr>
          <w:rFonts w:ascii="Times New Roman" w:cs="Times New Roman" w:eastAsia="Times New Roman" w:hAnsi="Times New Roman"/>
          <w:sz w:val="24"/>
          <w:szCs w:val="24"/>
          <w:rtl w:val="0"/>
        </w:rPr>
        <w:t xml:space="preserve">(02). https://doi.org/10.47750/pegegog.13.02.36</w:t>
      </w:r>
    </w:p>
    <w:p w:rsidR="00000000" w:rsidDel="00000000" w:rsidP="00000000" w:rsidRDefault="00000000" w:rsidRPr="00000000" w14:paraId="0000028E">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J. (2014). R&amp;D activities in start-up firms: What can we learn from founding resources? </w:t>
      </w:r>
      <w:r w:rsidDel="00000000" w:rsidR="00000000" w:rsidRPr="00000000">
        <w:rPr>
          <w:rFonts w:ascii="Times New Roman" w:cs="Times New Roman" w:eastAsia="Times New Roman" w:hAnsi="Times New Roman"/>
          <w:i w:val="1"/>
          <w:iCs w:val="1"/>
          <w:sz w:val="24"/>
          <w:szCs w:val="24"/>
          <w:rtl w:val="0"/>
        </w:rPr>
        <w:t xml:space="preserve">Technology Analysis &amp; Strategic Management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(5), 517–529. https://doi.org/10.1080/09537325.2013.870990</w:t>
      </w:r>
    </w:p>
    <w:p w:rsidR="00000000" w:rsidDel="00000000" w:rsidP="00000000" w:rsidRDefault="00000000" w:rsidRPr="00000000" w14:paraId="0000028F">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S.-L., &amp; Wu, P.-Y. (2008). The role of feedback and self-efficacy on web-based learning: The social cognitive perspective. </w:t>
      </w:r>
      <w:r w:rsidDel="00000000" w:rsidR="00000000" w:rsidRPr="00000000">
        <w:rPr>
          <w:rFonts w:ascii="Times New Roman" w:cs="Times New Roman" w:eastAsia="Times New Roman" w:hAnsi="Times New Roman"/>
          <w:i w:val="1"/>
          <w:iCs w:val="1"/>
          <w:sz w:val="24"/>
          <w:szCs w:val="24"/>
          <w:rtl w:val="0"/>
        </w:rPr>
        <w:t xml:space="preserve">Computers &amp;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(4), 1589–1598. https://doi.org/10.1016/j.compedu.2008.03.004</w:t>
      </w:r>
    </w:p>
    <w:p w:rsidR="00000000" w:rsidDel="00000000" w:rsidP="00000000" w:rsidRDefault="00000000" w:rsidRPr="00000000" w14:paraId="00000290">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Y., &amp; Chuang, Y.-W. (2023). Artificial intelligence self-efficacy: Scale development and validation. </w:t>
      </w:r>
      <w:r w:rsidDel="00000000" w:rsidR="00000000" w:rsidRPr="00000000">
        <w:rPr>
          <w:rFonts w:ascii="Times New Roman" w:cs="Times New Roman" w:eastAsia="Times New Roman" w:hAnsi="Times New Roman"/>
          <w:i w:val="1"/>
          <w:iCs w:val="1"/>
          <w:sz w:val="24"/>
          <w:szCs w:val="24"/>
          <w:rtl w:val="0"/>
        </w:rPr>
        <w:t xml:space="preserve">Education and Information Technologies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29</w:t>
      </w:r>
      <w:r w:rsidDel="00000000" w:rsidR="00000000" w:rsidRPr="00000000">
        <w:rPr>
          <w:rFonts w:ascii="Times New Roman" w:cs="Times New Roman" w:eastAsia="Times New Roman" w:hAnsi="Times New Roman"/>
          <w:sz w:val="24"/>
          <w:szCs w:val="24"/>
          <w:rtl w:val="0"/>
        </w:rPr>
        <w:t xml:space="preserve">(4). https://doi.org/10.1007/s10639-023-12015-w</w:t>
      </w:r>
    </w:p>
    <w:p w:rsidR="00000000" w:rsidDel="00000000" w:rsidP="00000000" w:rsidRDefault="00000000" w:rsidRPr="00000000" w14:paraId="00000291">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Yakin, A. A., None Muthmainnah, Obaid, A. J., Eka Apriani, Ganguli, S., &amp; Latief, A. (2024). The efficiency of blending AI technology to enhance behavior intention and critical thinking in higher education. </w:t>
      </w:r>
      <w:r w:rsidDel="00000000" w:rsidR="00000000" w:rsidRPr="00000000">
        <w:rPr>
          <w:rFonts w:ascii="Times New Roman" w:cs="Times New Roman" w:eastAsia="Times New Roman" w:hAnsi="Times New Roman"/>
          <w:i w:val="1"/>
          <w:iCs w:val="1"/>
          <w:sz w:val="24"/>
          <w:szCs w:val="24"/>
          <w:rtl w:val="0"/>
        </w:rPr>
        <w:t xml:space="preserve">CRC Press EBooks</w:t>
      </w:r>
      <w:r w:rsidDel="00000000" w:rsidR="00000000" w:rsidRPr="00000000">
        <w:rPr>
          <w:rFonts w:ascii="Times New Roman" w:cs="Times New Roman" w:eastAsia="Times New Roman" w:hAnsi="Times New Roman"/>
          <w:sz w:val="24"/>
          <w:szCs w:val="24"/>
          <w:rtl w:val="0"/>
        </w:rPr>
        <w:t xml:space="preserve">, 242–266. https://doi.org/10.1201/9781003510420-14</w:t>
      </w:r>
    </w:p>
    <w:p w:rsidR="00000000" w:rsidDel="00000000" w:rsidP="00000000" w:rsidRDefault="00000000" w:rsidRPr="00000000" w14:paraId="00000292">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Yusuf Kalınkara, &amp; Oğuzhan Özdemir. (2023). Anatomy in the metaverse: Exploring student technology acceptance through the UTAUT2 model. </w:t>
      </w:r>
      <w:r w:rsidDel="00000000" w:rsidR="00000000" w:rsidRPr="00000000">
        <w:rPr>
          <w:rFonts w:ascii="Times New Roman" w:cs="Times New Roman" w:eastAsia="Times New Roman" w:hAnsi="Times New Roman"/>
          <w:i w:val="1"/>
          <w:iCs w:val="1"/>
          <w:sz w:val="24"/>
          <w:szCs w:val="24"/>
          <w:rtl w:val="0"/>
        </w:rPr>
        <w:t xml:space="preserve">Anatomical Sciences Education</w:t>
      </w:r>
      <w:r w:rsidDel="00000000" w:rsidR="00000000" w:rsidRPr="00000000">
        <w:rPr>
          <w:rFonts w:ascii="Times New Roman" w:cs="Times New Roman" w:eastAsia="Times New Roman" w:hAnsi="Times New Roman"/>
          <w:sz w:val="24"/>
          <w:szCs w:val="24"/>
          <w:rtl w:val="0"/>
        </w:rPr>
        <w:t xml:space="preserve">. https://doi.org/10.1002/ase.2353</w:t>
      </w:r>
    </w:p>
    <w:p w:rsidR="00000000" w:rsidDel="00000000" w:rsidP="00000000" w:rsidRDefault="00000000" w:rsidRPr="00000000" w14:paraId="00000293">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Zajacova, A., Lynch, S. M., &amp; Espenshade, T. J. (2005). Self-Efficacy, Stress, and Academic Success in College. </w:t>
      </w:r>
      <w:r w:rsidDel="00000000" w:rsidR="00000000" w:rsidRPr="00000000">
        <w:rPr>
          <w:rFonts w:ascii="Times New Roman" w:cs="Times New Roman" w:eastAsia="Times New Roman" w:hAnsi="Times New Roman"/>
          <w:i w:val="1"/>
          <w:iCs w:val="1"/>
          <w:sz w:val="24"/>
          <w:szCs w:val="24"/>
          <w:rtl w:val="0"/>
        </w:rPr>
        <w:t xml:space="preserve">Research in Higher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46</w:t>
      </w:r>
      <w:r w:rsidDel="00000000" w:rsidR="00000000" w:rsidRPr="00000000">
        <w:rPr>
          <w:rFonts w:ascii="Times New Roman" w:cs="Times New Roman" w:eastAsia="Times New Roman" w:hAnsi="Times New Roman"/>
          <w:sz w:val="24"/>
          <w:szCs w:val="24"/>
          <w:rtl w:val="0"/>
        </w:rPr>
        <w:t xml:space="preserve">(6), 677–706. https://doi.org/10.1007/s11162-004-4139-z</w:t>
      </w:r>
    </w:p>
    <w:p w:rsidR="00000000" w:rsidDel="00000000" w:rsidP="00000000" w:rsidRDefault="00000000" w:rsidRPr="00000000" w14:paraId="00000294">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Zgurovsky, M. Z. (2025). Global Trends in Artificial Intelligence. Challenges, Opportunities, and Prospects. </w:t>
      </w:r>
      <w:r w:rsidDel="00000000" w:rsidR="00000000" w:rsidRPr="00000000">
        <w:rPr>
          <w:rFonts w:ascii="Times New Roman" w:cs="Times New Roman" w:eastAsia="Times New Roman" w:hAnsi="Times New Roman"/>
          <w:i w:val="1"/>
          <w:iCs w:val="1"/>
          <w:sz w:val="24"/>
          <w:szCs w:val="24"/>
          <w:rtl w:val="0"/>
        </w:rPr>
        <w:t xml:space="preserve">Cybernetics and Systems Analysis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61</w:t>
      </w:r>
      <w:r w:rsidDel="00000000" w:rsidR="00000000" w:rsidRPr="00000000">
        <w:rPr>
          <w:rFonts w:ascii="Times New Roman" w:cs="Times New Roman" w:eastAsia="Times New Roman" w:hAnsi="Times New Roman"/>
          <w:sz w:val="24"/>
          <w:szCs w:val="24"/>
          <w:rtl w:val="0"/>
        </w:rPr>
        <w:t xml:space="preserve">. https://doi.org/10.1007/s10559-025-00790-y</w:t>
      </w:r>
    </w:p>
    <w:p w:rsidR="00000000" w:rsidDel="00000000" w:rsidP="00000000" w:rsidRDefault="00000000" w:rsidRPr="00000000" w14:paraId="00000295">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Zhai, C., Wibowo, S., &amp; Li, L. D. (2024). The effects of over-reliance on AI dialogue systems on students’ cognitive abilities: a systematic review. </w:t>
      </w:r>
      <w:r w:rsidDel="00000000" w:rsidR="00000000" w:rsidRPr="00000000">
        <w:rPr>
          <w:rFonts w:ascii="Times New Roman" w:cs="Times New Roman" w:eastAsia="Times New Roman" w:hAnsi="Times New Roman"/>
          <w:i w:val="1"/>
          <w:iCs w:val="1"/>
          <w:sz w:val="24"/>
          <w:szCs w:val="24"/>
          <w:rtl w:val="0"/>
        </w:rPr>
        <w:t xml:space="preserve">Smart Learning Environments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(28), 1–37. https://doi.org/10.1186/s40561-024-00316-7</w:t>
      </w:r>
    </w:p>
    <w:p w:rsidR="00000000" w:rsidDel="00000000" w:rsidP="00000000" w:rsidRDefault="00000000" w:rsidRPr="00000000" w14:paraId="00000296">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S., Zhao, X., Zhou, T., &amp; Kim, J. H. (2024a). Do you have AI dependency? The roles of academic self-efficacy, academic stress, and performance expectations on problematic AI usage behavior. </w:t>
      </w:r>
      <w:r w:rsidDel="00000000" w:rsidR="00000000" w:rsidRPr="00000000">
        <w:rPr>
          <w:rFonts w:ascii="Times New Roman" w:cs="Times New Roman" w:eastAsia="Times New Roman" w:hAnsi="Times New Roman"/>
          <w:i w:val="1"/>
          <w:iCs w:val="1"/>
          <w:sz w:val="24"/>
          <w:szCs w:val="24"/>
          <w:rtl w:val="0"/>
        </w:rPr>
        <w:t xml:space="preserve">International Journal of Educational Technology in Higher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21</w:t>
      </w:r>
      <w:r w:rsidDel="00000000" w:rsidR="00000000" w:rsidRPr="00000000">
        <w:rPr>
          <w:rFonts w:ascii="Times New Roman" w:cs="Times New Roman" w:eastAsia="Times New Roman" w:hAnsi="Times New Roman"/>
          <w:sz w:val="24"/>
          <w:szCs w:val="24"/>
          <w:rtl w:val="0"/>
        </w:rPr>
        <w:t xml:space="preserve">(1), 1–14. https://doi.org/10.1186/s41239-024-00467-0</w:t>
      </w:r>
    </w:p>
    <w:p w:rsidR="00000000" w:rsidDel="00000000" w:rsidP="00000000" w:rsidRDefault="00000000" w:rsidRPr="00000000" w14:paraId="00000297">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S., Zhao, X., Zhou, T., &amp; Kim, J. H. (2024b). Do you have AI dependency? The roles of academic self-efficacy, academic stress, and performance expectations on problematic AI usage behavior. </w:t>
      </w:r>
      <w:r w:rsidDel="00000000" w:rsidR="00000000" w:rsidRPr="00000000">
        <w:rPr>
          <w:rFonts w:ascii="Times New Roman" w:cs="Times New Roman" w:eastAsia="Times New Roman" w:hAnsi="Times New Roman"/>
          <w:i w:val="1"/>
          <w:iCs w:val="1"/>
          <w:sz w:val="24"/>
          <w:szCs w:val="24"/>
          <w:rtl w:val="0"/>
        </w:rPr>
        <w:t xml:space="preserve">International Journal of Educational Technology in Higher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21</w:t>
      </w:r>
      <w:r w:rsidDel="00000000" w:rsidR="00000000" w:rsidRPr="00000000">
        <w:rPr>
          <w:rFonts w:ascii="Times New Roman" w:cs="Times New Roman" w:eastAsia="Times New Roman" w:hAnsi="Times New Roman"/>
          <w:sz w:val="24"/>
          <w:szCs w:val="24"/>
          <w:rtl w:val="0"/>
        </w:rPr>
        <w:t xml:space="preserve">(1), 1–14. https://doi.org/10.1186/s41239-024-00467-0</w:t>
      </w:r>
    </w:p>
    <w:p w:rsidR="00000000" w:rsidDel="00000000" w:rsidP="00000000" w:rsidRDefault="00000000" w:rsidRPr="00000000" w14:paraId="00000298">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Zhu, W., Huang, L., Zhou, X., Li, X., Shi, G., Ying, J., &amp; Wang, C. (2024). Could AI Ethical Anxiety, Perceived Ethical Risks and Ethical Awareness About AI Influence University Students’ Use of Generative AI Products? An Ethical Perspective. </w:t>
      </w:r>
      <w:r w:rsidDel="00000000" w:rsidR="00000000" w:rsidRPr="00000000">
        <w:rPr>
          <w:rFonts w:ascii="Times New Roman" w:cs="Times New Roman" w:eastAsia="Times New Roman" w:hAnsi="Times New Roman"/>
          <w:i w:val="1"/>
          <w:iCs w:val="1"/>
          <w:sz w:val="24"/>
          <w:szCs w:val="24"/>
          <w:rtl w:val="0"/>
        </w:rPr>
        <w:t xml:space="preserve">International Journal of Human-Computer Interaction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41</w:t>
      </w:r>
      <w:r w:rsidDel="00000000" w:rsidR="00000000" w:rsidRPr="00000000">
        <w:rPr>
          <w:rFonts w:ascii="Times New Roman" w:cs="Times New Roman" w:eastAsia="Times New Roman" w:hAnsi="Times New Roman"/>
          <w:sz w:val="24"/>
          <w:szCs w:val="24"/>
          <w:rtl w:val="0"/>
        </w:rPr>
        <w:t xml:space="preserve">(1), 1–23. https://doi.org/10.1080/10447318.2024.2323277</w:t>
      </w:r>
    </w:p>
    <w:p w:rsidR="00000000" w:rsidDel="00000000" w:rsidP="00000000" w:rsidRDefault="00000000" w:rsidRPr="00000000" w14:paraId="00000299">
      <w:pPr>
        <w:spacing w:after="288" w:before="48.00000000000001" w:line="288"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Zimmerman, B. J. (2000). Self-Efficacy: An Essential Motive to Learn. </w:t>
      </w:r>
      <w:r w:rsidDel="00000000" w:rsidR="00000000" w:rsidRPr="00000000">
        <w:rPr>
          <w:rFonts w:ascii="Times New Roman" w:cs="Times New Roman" w:eastAsia="Times New Roman" w:hAnsi="Times New Roman"/>
          <w:i w:val="1"/>
          <w:iCs w:val="1"/>
          <w:sz w:val="24"/>
          <w:szCs w:val="24"/>
          <w:rtl w:val="0"/>
        </w:rPr>
        <w:t xml:space="preserve">Contemporary Educational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25</w:t>
      </w:r>
      <w:r w:rsidDel="00000000" w:rsidR="00000000" w:rsidRPr="00000000">
        <w:rPr>
          <w:rFonts w:ascii="Times New Roman" w:cs="Times New Roman" w:eastAsia="Times New Roman" w:hAnsi="Times New Roman"/>
          <w:sz w:val="24"/>
          <w:szCs w:val="24"/>
          <w:rtl w:val="0"/>
        </w:rPr>
        <w:t xml:space="preserve">(1), 82–91. https://doi.org/10.1006/ceps.1999.1016</w:t>
      </w:r>
    </w:p>
    <w:p w:rsidR="00000000" w:rsidDel="00000000" w:rsidP="00000000" w:rsidRDefault="00000000" w:rsidRPr="00000000" w14:paraId="0000029A">
      <w:pPr>
        <w:spacing w:after="288" w:before="48.00000000000001" w:line="288" w:lineRule="auto"/>
        <w:jc w:val="both"/>
        <w:rPr>
          <w:rFonts w:ascii="Times New Roman" w:cs="Times New Roman" w:eastAsia="Times New Roman" w:hAnsi="Times New Roman"/>
          <w:b w:val="1"/>
          <w:bCs w:val="1"/>
          <w:sz w:val="24"/>
          <w:szCs w:val="24"/>
        </w:rPr>
      </w:pPr>
      <w:r w:rsidDel="00000000" w:rsidR="00000000" w:rsidRPr="00000000">
        <w:rPr>
          <w:rtl w:val="0"/>
        </w:rPr>
      </w:r>
    </w:p>
    <w:sectPr>
      <w:footerReference r:id="rId1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9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Corresponding author: Bui Quynh Giao; Tel: 0369 374 656; Email: </w:t>
      </w:r>
      <w:r w:rsidDel="00000000" w:rsidR="00000000" w:rsidRPr="00000000">
        <w:rPr>
          <w:rFonts w:ascii="Times New Roman" w:cs="Times New Roman" w:eastAsia="Times New Roman" w:hAnsi="Times New Roman"/>
          <w:color w:val="0000ff"/>
          <w:sz w:val="20"/>
          <w:szCs w:val="20"/>
          <w:u w:val="single"/>
          <w:rtl w:val="0"/>
        </w:rPr>
        <w:t xml:space="preserve">K61.2212585014@ftu.edu.vn</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i w:val="0"/>
        <w:iCs w:val="0"/>
        <w:color w:val="000000"/>
      </w:rPr>
    </w:lvl>
    <w:lvl w:ilvl="1">
      <w:start w:val="1"/>
      <w:numFmt w:val="decimal"/>
      <w:lvlText w:val="%1.%2."/>
      <w:lvlJc w:val="left"/>
      <w:pPr>
        <w:ind w:left="0" w:firstLine="0"/>
      </w:pPr>
      <w:rPr>
        <w:b w:val="1"/>
        <w:bCs w:val="1"/>
        <w:color w:val="000000"/>
        <w:sz w:val="24"/>
        <w:szCs w:val="24"/>
      </w:rPr>
    </w:lvl>
    <w:lvl w:ilvl="2">
      <w:start w:val="1"/>
      <w:numFmt w:val="decimal"/>
      <w:lvlText w:val="%1.%2.%3."/>
      <w:lvlJc w:val="left"/>
      <w:pPr>
        <w:ind w:left="0" w:firstLine="0"/>
      </w:pPr>
      <w:rPr/>
    </w:lvl>
    <w:lvl w:ilvl="3">
      <w:start w:val="1"/>
      <w:numFmt w:val="lowerLetter"/>
      <w:lvlText w:val="%4)"/>
      <w:lvlJc w:val="left"/>
      <w:pPr>
        <w:ind w:left="0" w:firstLine="720"/>
      </w:pPr>
      <w:rPr>
        <w:b w:val="0"/>
        <w:bCs w:val="0"/>
        <w:i w:val="1"/>
        <w:iCs w:val="1"/>
        <w:color w:val="000000"/>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9]"/>
      <w:lvlJc w:val="left"/>
      <w:pPr>
        <w:ind w:left="454" w:hanging="454"/>
      </w:pPr>
      <w:rPr>
        <w:b w:val="0"/>
        <w:bCs w:val="0"/>
        <w:i w:val="0"/>
        <w:iCs w:val="0"/>
        <w:color w:val="000000"/>
      </w:rPr>
    </w:lvl>
  </w:abstractNum>
  <w:abstractNum w:abstractNumId="2">
    <w:lvl w:ilvl="0">
      <w:start w:val="2"/>
      <w:numFmt w:val="decimal"/>
      <w:lvlText w:val="%1."/>
      <w:lvlJc w:val="left"/>
      <w:pPr>
        <w:ind w:left="0" w:firstLine="0"/>
      </w:pPr>
      <w:rPr>
        <w:i w:val="0"/>
        <w:iCs w:val="0"/>
        <w:color w:val="000000"/>
      </w:rPr>
    </w:lvl>
    <w:lvl w:ilvl="1">
      <w:start w:val="3"/>
      <w:numFmt w:val="decimal"/>
      <w:lvlText w:val="%1.%2."/>
      <w:lvlJc w:val="left"/>
      <w:pPr>
        <w:ind w:left="0" w:firstLine="0"/>
      </w:pPr>
      <w:rPr>
        <w:b w:val="1"/>
        <w:bCs w:val="1"/>
        <w:color w:val="000000"/>
        <w:sz w:val="24"/>
        <w:szCs w:val="24"/>
      </w:rPr>
    </w:lvl>
    <w:lvl w:ilvl="2">
      <w:start w:val="1"/>
      <w:numFmt w:val="decimal"/>
      <w:lvlText w:val="%1.%2.%3."/>
      <w:lvlJc w:val="left"/>
      <w:pPr>
        <w:ind w:left="0" w:firstLine="0"/>
      </w:pPr>
      <w:rPr/>
    </w:lvl>
    <w:lvl w:ilvl="3">
      <w:start w:val="1"/>
      <w:numFmt w:val="lowerLetter"/>
      <w:lvlText w:val="%4)"/>
      <w:lvlJc w:val="left"/>
      <w:pPr>
        <w:ind w:left="0" w:firstLine="720"/>
      </w:pPr>
      <w:rPr>
        <w:b w:val="0"/>
        <w:bCs w:val="0"/>
        <w:i w:val="1"/>
        <w:iCs w:val="1"/>
        <w:color w:val="000000"/>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9]"/>
      <w:lvlJc w:val="left"/>
      <w:pPr>
        <w:ind w:left="454" w:hanging="454"/>
      </w:pPr>
      <w:rPr>
        <w:b w:val="0"/>
        <w:bCs w:val="0"/>
        <w:i w:val="0"/>
        <w:iCs w:val="0"/>
        <w:color w:val="00000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character" w:styleId="FootnoteReference">
    <w:name w:val="footnote reference"/>
    <w:aliases w:val="Footnote dich,SUPERS,Footnote,chu_thich,ftref,BVI fnr,footnote ref,Footnote text,Footnote Reference Number,Знак сноски 1,(NECG) Footnote Reference,16 Point,Superscript 6 Point,Footnote + Arial,10 pt,Black,Ref,de nota al pie, BVI f"/>
    <w:semiHidden w:val="1"/>
    <w:unhideWhenUsed w:val="1"/>
    <w:rsid w:val="002F686B"/>
    <w:rPr>
      <w:vertAlign w:val="superscript"/>
    </w:rPr>
  </w:style>
  <w:style w:type="character" w:styleId="Hyperlink">
    <w:name w:val="Hyperlink"/>
    <w:uiPriority w:val="99"/>
    <w:unhideWhenUsed w:val="1"/>
    <w:rsid w:val="00306EEF"/>
    <w:rPr>
      <w:color w:val="0000ff"/>
      <w:u w:val="single"/>
    </w:rPr>
  </w:style>
  <w:style w:type="paragraph" w:styleId="mcCp1" w:customStyle="1">
    <w:name w:val="@ Đề mục (Cấp 1)"/>
    <w:basedOn w:val="Normal"/>
    <w:next w:val="Normal"/>
    <w:qFormat w:val="1"/>
    <w:rsid w:val="00306EEF"/>
    <w:pPr>
      <w:widowControl w:val="0"/>
      <w:numPr>
        <w:numId w:val="4"/>
      </w:numPr>
      <w:tabs>
        <w:tab w:val="left" w:pos="720"/>
        <w:tab w:val="left" w:pos="1440"/>
        <w:tab w:val="left" w:pos="2160"/>
        <w:tab w:val="center" w:pos="4253"/>
        <w:tab w:val="right" w:pos="8505"/>
      </w:tabs>
      <w:spacing w:after="60" w:before="120"/>
      <w:jc w:val="both"/>
      <w:outlineLvl w:val="0"/>
    </w:pPr>
    <w:rPr>
      <w:rFonts w:ascii="Times New Roman" w:cs="Times New Roman" w:eastAsia="Times New Roman" w:hAnsi="Times New Roman"/>
      <w:b w:val="1"/>
      <w:szCs w:val="28"/>
      <w:lang w:eastAsia="en-US" w:val="en-US"/>
    </w:rPr>
  </w:style>
  <w:style w:type="paragraph" w:styleId="mcCp2" w:customStyle="1">
    <w:name w:val="@ Đề mục (Cấp 2)"/>
    <w:basedOn w:val="Normal"/>
    <w:next w:val="Normal"/>
    <w:qFormat w:val="1"/>
    <w:rsid w:val="00306EEF"/>
    <w:pPr>
      <w:widowControl w:val="0"/>
      <w:tabs>
        <w:tab w:val="left" w:pos="720"/>
        <w:tab w:val="left" w:pos="1440"/>
        <w:tab w:val="left" w:pos="2160"/>
        <w:tab w:val="center" w:pos="4253"/>
        <w:tab w:val="right" w:pos="8505"/>
      </w:tabs>
      <w:spacing w:after="60" w:before="120"/>
      <w:ind w:left="1440" w:hanging="720"/>
      <w:jc w:val="both"/>
      <w:outlineLvl w:val="1"/>
    </w:pPr>
    <w:rPr>
      <w:rFonts w:ascii="Times New Roman" w:cs="Times New Roman" w:eastAsia="Times New Roman" w:hAnsi="Times New Roman"/>
      <w:b w:val="1"/>
      <w:i w:val="1"/>
      <w:szCs w:val="28"/>
      <w:lang w:eastAsia="en-US" w:val="en-US"/>
    </w:rPr>
  </w:style>
  <w:style w:type="paragraph" w:styleId="mcCp3" w:customStyle="1">
    <w:name w:val="@ Đề mục (Cấp 3)"/>
    <w:basedOn w:val="Normal"/>
    <w:next w:val="Normal"/>
    <w:qFormat w:val="1"/>
    <w:rsid w:val="00306EEF"/>
    <w:pPr>
      <w:widowControl w:val="0"/>
      <w:tabs>
        <w:tab w:val="left" w:pos="720"/>
        <w:tab w:val="left" w:pos="1440"/>
        <w:tab w:val="left" w:pos="2160"/>
        <w:tab w:val="center" w:pos="4253"/>
        <w:tab w:val="right" w:pos="8505"/>
      </w:tabs>
      <w:spacing w:after="60" w:before="120"/>
      <w:ind w:left="2160" w:hanging="720"/>
      <w:jc w:val="both"/>
      <w:outlineLvl w:val="2"/>
    </w:pPr>
    <w:rPr>
      <w:rFonts w:ascii="Times New Roman" w:cs="Times New Roman" w:eastAsia="Times New Roman" w:hAnsi="Times New Roman"/>
      <w:i w:val="1"/>
      <w:szCs w:val="28"/>
      <w:lang w:eastAsia="en-US" w:val="en-US"/>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ink.springer.com/article/10.1186/s41239-024-00467-0" TargetMode="External"/><Relationship Id="rId10" Type="http://schemas.openxmlformats.org/officeDocument/2006/relationships/hyperlink" Target="https://link.springer.com/article/10.1186/s41239-024-00467-0" TargetMode="External"/><Relationship Id="rId13" Type="http://schemas.openxmlformats.org/officeDocument/2006/relationships/hyperlink" Target="https://www.mdpi.com/2079-8954/12/3/74" TargetMode="External"/><Relationship Id="rId12" Type="http://schemas.openxmlformats.org/officeDocument/2006/relationships/hyperlink" Target="https://www.sciencedirect.com/science/article/pii/S2666920X25000219?ref=pdf_download&amp;fr=RR-2&amp;rr=99a35faa69fa070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JAVQXT6MFshR4Mu3y3oLrsmnEA==">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Mg5oLnNtbGZvZDhxd3p3aDIOaC45aXY1MnZwZzN3cjQyDmgua2dhdXBneHFkOGNkMg5oLmZxbmo3NmYzZzVtczIOaC5jYnY3OHVyY2F0bDMyDmgucTh6YWF0d2lxbHF4Mg5oLmh5YXFwd25qYWhjdTIOaC5ramViNmh3bm53MHYyDmguMmlmMXFtYjRsMnhyMg1oLncwY2JscnUxdTFnMg5oLmk3a2R0M2J1MXZkdzIOaC50c3IzemxuNGpwcmcyDmguOWd5aDM5eXFlanJjMg5oLjJveWlmazF1OHZpNjIOaC5lamNnMDh4aDY3aTQyDmguNDUxejQ2OXZhNXlqMg5oLjFieGQyOHYzaTJoaTIOaC5vbzQ3dGk4aG5tbzMyDmguZ3JqZ25vaXA5c2sxMg5oLmc3bXNrMGV1eHVjNTIJaC4zd2h3bWw0OAByITFORnhCcmZHcTQzNWlYMEd3QmwtUDl2cUNaWGs1Z3Zl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2026-05-19T14:37:00Z</dcterms:created>
</cp:coreProperties>
</file>