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160" w:vertAnchor="text" w:horzAnchor="text" w:tblpX="0" w:tblpY="182"/>
        <w:tblW w:w="9356.0" w:type="dxa"/>
        <w:jc w:val="left"/>
        <w:tblBorders>
          <w:top w:color="000000" w:space="0" w:sz="4" w:val="single"/>
          <w:bottom w:color="000000" w:space="0" w:sz="4" w:val="single"/>
        </w:tblBorders>
        <w:tblLayout w:type="fixed"/>
        <w:tblLook w:val="0400"/>
      </w:tblPr>
      <w:tblGrid>
        <w:gridCol w:w="2141"/>
        <w:gridCol w:w="7215"/>
        <w:tblGridChange w:id="0">
          <w:tblGrid>
            <w:gridCol w:w="2141"/>
            <w:gridCol w:w="7215"/>
          </w:tblGrid>
        </w:tblGridChange>
      </w:tblGrid>
      <w:tr>
        <w:trPr>
          <w:cantSplit w:val="0"/>
          <w:trHeight w:val="510" w:hRule="atLeast"/>
          <w:tblHeader w:val="0"/>
        </w:trPr>
        <w:tc>
          <w:tcPr>
            <w:vMerge w:val="restart"/>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2">
            <w:pPr>
              <w:tabs>
                <w:tab w:val="left" w:leader="none" w:pos="425"/>
              </w:tabs>
              <w:spacing w:after="160" w:line="259" w:lineRule="auto"/>
              <w:rPr>
                <w:b w:val="1"/>
                <w:bCs w:val="1"/>
              </w:rPr>
            </w:pPr>
            <w:bookmarkStart w:colFirst="0" w:colLast="0" w:name="_heading=h.k3aabn5jmenl" w:id="0"/>
            <w:bookmarkEnd w:id="0"/>
            <w:r w:rsidDel="00000000" w:rsidR="00000000" w:rsidRPr="00000000">
              <w:rPr>
                <w:b w:val="1"/>
                <w:bCs w:val="1"/>
              </w:rPr>
              <w:drawing>
                <wp:inline distB="114300" distT="114300" distL="114300" distR="114300">
                  <wp:extent cx="1209675" cy="1714500"/>
                  <wp:effectExtent b="0" l="0" r="0" t="0"/>
                  <wp:docPr id="157677000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209675" cy="1714500"/>
                          </a:xfrm>
                          <a:prstGeom prst="rect"/>
                          <a:ln/>
                        </pic:spPr>
                      </pic:pic>
                    </a:graphicData>
                  </a:graphic>
                </wp:inline>
              </w:drawing>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03">
            <w:pPr>
              <w:tabs>
                <w:tab w:val="left" w:leader="none" w:pos="425"/>
              </w:tabs>
              <w:spacing w:after="160" w:line="259" w:lineRule="auto"/>
              <w:rPr>
                <w:b w:val="1"/>
                <w:bCs w:val="1"/>
              </w:rPr>
            </w:pPr>
            <w:r w:rsidDel="00000000" w:rsidR="00000000" w:rsidRPr="00000000">
              <w:rPr>
                <w:rtl w:val="0"/>
              </w:rPr>
            </w:r>
          </w:p>
        </w:tc>
      </w:tr>
      <w:tr>
        <w:trPr>
          <w:cantSplit w:val="0"/>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05">
            <w:pPr>
              <w:tabs>
                <w:tab w:val="left" w:leader="none" w:pos="425"/>
              </w:tabs>
              <w:spacing w:after="160" w:line="259" w:lineRule="auto"/>
              <w:rPr>
                <w:b w:val="1"/>
                <w:bCs w:val="1"/>
              </w:rPr>
            </w:pPr>
            <w:r w:rsidDel="00000000" w:rsidR="00000000" w:rsidRPr="00000000">
              <w:rPr>
                <w:rtl w:val="0"/>
              </w:rPr>
            </w:r>
          </w:p>
          <w:p w:rsidR="00000000" w:rsidDel="00000000" w:rsidP="00000000" w:rsidRDefault="00000000" w:rsidRPr="00000000" w14:paraId="00000006">
            <w:pPr>
              <w:tabs>
                <w:tab w:val="left" w:leader="none" w:pos="425"/>
              </w:tabs>
              <w:spacing w:after="160" w:line="259" w:lineRule="auto"/>
              <w:jc w:val="center"/>
              <w:rPr>
                <w:b w:val="1"/>
                <w:bCs w:val="1"/>
                <w:i w:val="1"/>
                <w:iCs w:val="1"/>
              </w:rPr>
            </w:pPr>
            <w:r w:rsidDel="00000000" w:rsidR="00000000" w:rsidRPr="00000000">
              <w:rPr>
                <w:b w:val="1"/>
                <w:bCs w:val="1"/>
                <w:rtl w:val="0"/>
              </w:rPr>
              <w:t xml:space="preserve">Working Paper 2026.2.3.8</w:t>
            </w:r>
            <w:r w:rsidDel="00000000" w:rsidR="00000000" w:rsidRPr="00000000">
              <w:rPr>
                <w:rtl w:val="0"/>
              </w:rPr>
            </w:r>
          </w:p>
          <w:p w:rsidR="00000000" w:rsidDel="00000000" w:rsidP="00000000" w:rsidRDefault="00000000" w:rsidRPr="00000000" w14:paraId="00000007">
            <w:pPr>
              <w:tabs>
                <w:tab w:val="left" w:leader="none" w:pos="425"/>
              </w:tabs>
              <w:spacing w:after="160" w:line="259" w:lineRule="auto"/>
              <w:jc w:val="center"/>
              <w:rPr>
                <w:b w:val="1"/>
                <w:bCs w:val="1"/>
              </w:rPr>
            </w:pPr>
            <w:r w:rsidDel="00000000" w:rsidR="00000000" w:rsidRPr="00000000">
              <w:rPr>
                <w:b w:val="1"/>
                <w:bCs w:val="1"/>
                <w:rtl w:val="0"/>
              </w:rPr>
              <w:t xml:space="preserve">- Vol.2 , No.3</w:t>
            </w:r>
          </w:p>
          <w:p w:rsidR="00000000" w:rsidDel="00000000" w:rsidP="00000000" w:rsidRDefault="00000000" w:rsidRPr="00000000" w14:paraId="00000008">
            <w:pPr>
              <w:tabs>
                <w:tab w:val="left" w:leader="none" w:pos="425"/>
              </w:tabs>
              <w:spacing w:after="160" w:line="259" w:lineRule="auto"/>
              <w:jc w:val="center"/>
              <w:rPr>
                <w:b w:val="1"/>
                <w:bCs w:val="1"/>
              </w:rPr>
            </w:pPr>
            <w:r w:rsidDel="00000000" w:rsidR="00000000" w:rsidRPr="00000000">
              <w:rPr>
                <w:rtl w:val="0"/>
              </w:rPr>
            </w:r>
          </w:p>
        </w:tc>
      </w:tr>
      <w:tr>
        <w:trPr>
          <w:cantSplit w:val="0"/>
          <w:trHeight w:val="404" w:hRule="atLeast"/>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0A">
            <w:pPr>
              <w:tabs>
                <w:tab w:val="left" w:leader="none" w:pos="425"/>
              </w:tabs>
              <w:spacing w:after="160" w:line="259" w:lineRule="auto"/>
              <w:rPr>
                <w:b w:val="1"/>
                <w:bCs w:val="1"/>
              </w:rPr>
            </w:pPr>
            <w:r w:rsidDel="00000000" w:rsidR="00000000" w:rsidRPr="00000000">
              <w:rPr>
                <w:rtl w:val="0"/>
              </w:rPr>
            </w:r>
          </w:p>
        </w:tc>
      </w:tr>
    </w:tbl>
    <w:p w:rsidR="00000000" w:rsidDel="00000000" w:rsidP="00000000" w:rsidRDefault="00000000" w:rsidRPr="00000000" w14:paraId="0000000B">
      <w:pPr>
        <w:tabs>
          <w:tab w:val="left" w:leader="none" w:pos="425"/>
        </w:tabs>
        <w:spacing w:line="360" w:lineRule="auto"/>
        <w:jc w:val="center"/>
        <w:rPr>
          <w:b w:val="1"/>
          <w:bCs w:val="1"/>
        </w:rPr>
      </w:pPr>
      <w:r w:rsidDel="00000000" w:rsidR="00000000" w:rsidRPr="00000000">
        <w:rPr>
          <w:b w:val="1"/>
          <w:bCs w:val="1"/>
          <w:rtl w:val="0"/>
        </w:rPr>
        <w:t xml:space="preserve">XÂY DỰNG KHUNG LÝ THUYẾT TÍCH HỢP GIỮA THUYẾT HÀNH VI DỰ ĐỊNH VÀ KHUNG ĐỘNG CƠ – CƠ HỘI – KHẢ NĂNG TRONG NGHIÊN CỨU HÀNH VI MUA THỰC PHẨM BỀN VỮNG</w:t>
      </w:r>
    </w:p>
    <w:p w:rsidR="00000000" w:rsidDel="00000000" w:rsidP="00000000" w:rsidRDefault="00000000" w:rsidRPr="00000000" w14:paraId="0000000C">
      <w:pPr>
        <w:tabs>
          <w:tab w:val="left" w:leader="none" w:pos="425"/>
        </w:tabs>
        <w:spacing w:line="360" w:lineRule="auto"/>
        <w:jc w:val="center"/>
        <w:rPr>
          <w:b w:val="1"/>
          <w:bCs w:val="1"/>
        </w:rPr>
      </w:pPr>
      <w:r w:rsidDel="00000000" w:rsidR="00000000" w:rsidRPr="00000000">
        <w:rPr>
          <w:b w:val="1"/>
          <w:bCs w:val="1"/>
          <w:rtl w:val="0"/>
        </w:rPr>
        <w:t xml:space="preserve">Nguyễn Hồ Huy Khải</w:t>
      </w:r>
      <w:r w:rsidDel="00000000" w:rsidR="00000000" w:rsidRPr="00000000">
        <w:rPr>
          <w:b w:val="1"/>
          <w:bCs w:val="1"/>
          <w:vertAlign w:val="superscript"/>
        </w:rPr>
        <w:footnoteReference w:customMarkFollows="0" w:id="0"/>
      </w:r>
      <w:r w:rsidDel="00000000" w:rsidR="00000000" w:rsidRPr="00000000">
        <w:rPr>
          <w:rtl w:val="0"/>
        </w:rPr>
      </w:r>
    </w:p>
    <w:p w:rsidR="00000000" w:rsidDel="00000000" w:rsidP="00000000" w:rsidRDefault="00000000" w:rsidRPr="00000000" w14:paraId="0000000D">
      <w:pPr>
        <w:tabs>
          <w:tab w:val="left" w:leader="none" w:pos="425"/>
        </w:tabs>
        <w:spacing w:line="360" w:lineRule="auto"/>
        <w:jc w:val="center"/>
        <w:rPr/>
      </w:pPr>
      <w:r w:rsidDel="00000000" w:rsidR="00000000" w:rsidRPr="00000000">
        <w:rPr>
          <w:rtl w:val="0"/>
        </w:rPr>
        <w:t xml:space="preserve">Sinh viên K63 CLC Quản trị Kinh doanh Quốc tế</w:t>
      </w:r>
    </w:p>
    <w:p w:rsidR="00000000" w:rsidDel="00000000" w:rsidP="00000000" w:rsidRDefault="00000000" w:rsidRPr="00000000" w14:paraId="0000000E">
      <w:pPr>
        <w:tabs>
          <w:tab w:val="left" w:leader="none" w:pos="425"/>
        </w:tabs>
        <w:spacing w:line="360" w:lineRule="auto"/>
        <w:jc w:val="center"/>
        <w:rPr>
          <w:i w:val="1"/>
          <w:iCs w:val="1"/>
        </w:rPr>
      </w:pPr>
      <w:r w:rsidDel="00000000" w:rsidR="00000000" w:rsidRPr="00000000">
        <w:rPr>
          <w:i w:val="1"/>
          <w:iCs w:val="1"/>
          <w:rtl w:val="0"/>
        </w:rPr>
        <w:t xml:space="preserve">Phân hiệu Trường Đại học Ngoại thương tại Thành phố hồ Chí Minh, Việt Nam</w:t>
      </w:r>
    </w:p>
    <w:p w:rsidR="00000000" w:rsidDel="00000000" w:rsidP="00000000" w:rsidRDefault="00000000" w:rsidRPr="00000000" w14:paraId="0000000F">
      <w:pPr>
        <w:tabs>
          <w:tab w:val="left" w:leader="none" w:pos="425"/>
        </w:tabs>
        <w:spacing w:line="360" w:lineRule="auto"/>
        <w:jc w:val="center"/>
        <w:rPr>
          <w:i w:val="1"/>
          <w:iCs w:val="1"/>
        </w:rPr>
      </w:pPr>
      <w:r w:rsidDel="00000000" w:rsidR="00000000" w:rsidRPr="00000000">
        <w:rPr>
          <w:rtl w:val="0"/>
        </w:rPr>
      </w:r>
    </w:p>
    <w:p w:rsidR="00000000" w:rsidDel="00000000" w:rsidP="00000000" w:rsidRDefault="00000000" w:rsidRPr="00000000" w14:paraId="00000010">
      <w:pPr>
        <w:tabs>
          <w:tab w:val="left" w:leader="none" w:pos="425"/>
        </w:tabs>
        <w:spacing w:line="360" w:lineRule="auto"/>
        <w:jc w:val="center"/>
        <w:rPr>
          <w:b w:val="1"/>
          <w:bCs w:val="1"/>
        </w:rPr>
      </w:pPr>
      <w:r w:rsidDel="00000000" w:rsidR="00000000" w:rsidRPr="00000000">
        <w:rPr>
          <w:b w:val="1"/>
          <w:bCs w:val="1"/>
          <w:rtl w:val="0"/>
        </w:rPr>
        <w:t xml:space="preserve">Lê Phương Như</w:t>
      </w:r>
    </w:p>
    <w:p w:rsidR="00000000" w:rsidDel="00000000" w:rsidP="00000000" w:rsidRDefault="00000000" w:rsidRPr="00000000" w14:paraId="00000011">
      <w:pPr>
        <w:tabs>
          <w:tab w:val="left" w:leader="none" w:pos="425"/>
        </w:tabs>
        <w:spacing w:line="360" w:lineRule="auto"/>
        <w:jc w:val="center"/>
        <w:rPr/>
      </w:pPr>
      <w:r w:rsidDel="00000000" w:rsidR="00000000" w:rsidRPr="00000000">
        <w:rPr>
          <w:rtl w:val="0"/>
        </w:rPr>
        <w:t xml:space="preserve">Sinh viên K63 CLC Kinh tế đối ngoại </w:t>
      </w:r>
    </w:p>
    <w:p w:rsidR="00000000" w:rsidDel="00000000" w:rsidP="00000000" w:rsidRDefault="00000000" w:rsidRPr="00000000" w14:paraId="00000012">
      <w:pPr>
        <w:tabs>
          <w:tab w:val="left" w:leader="none" w:pos="425"/>
        </w:tabs>
        <w:spacing w:line="360" w:lineRule="auto"/>
        <w:jc w:val="center"/>
        <w:rPr>
          <w:i w:val="1"/>
          <w:iCs w:val="1"/>
        </w:rPr>
      </w:pPr>
      <w:r w:rsidDel="00000000" w:rsidR="00000000" w:rsidRPr="00000000">
        <w:rPr>
          <w:i w:val="1"/>
          <w:iCs w:val="1"/>
          <w:rtl w:val="0"/>
        </w:rPr>
        <w:t xml:space="preserve">Phân hiệu Trường Đại học Ngoại thương tại Thành phố hồ Chí Minh, Việt Nam</w:t>
      </w:r>
    </w:p>
    <w:p w:rsidR="00000000" w:rsidDel="00000000" w:rsidP="00000000" w:rsidRDefault="00000000" w:rsidRPr="00000000" w14:paraId="00000013">
      <w:pPr>
        <w:tabs>
          <w:tab w:val="left" w:leader="none" w:pos="425"/>
        </w:tabs>
        <w:spacing w:line="360" w:lineRule="auto"/>
        <w:jc w:val="center"/>
        <w:rPr>
          <w:i w:val="1"/>
          <w:iCs w:val="1"/>
        </w:rPr>
      </w:pPr>
      <w:r w:rsidDel="00000000" w:rsidR="00000000" w:rsidRPr="00000000">
        <w:rPr>
          <w:rtl w:val="0"/>
        </w:rPr>
      </w:r>
    </w:p>
    <w:p w:rsidR="00000000" w:rsidDel="00000000" w:rsidP="00000000" w:rsidRDefault="00000000" w:rsidRPr="00000000" w14:paraId="00000014">
      <w:pPr>
        <w:tabs>
          <w:tab w:val="left" w:leader="none" w:pos="425"/>
        </w:tabs>
        <w:spacing w:line="360" w:lineRule="auto"/>
        <w:jc w:val="center"/>
        <w:rPr>
          <w:b w:val="1"/>
          <w:bCs w:val="1"/>
        </w:rPr>
      </w:pPr>
      <w:r w:rsidDel="00000000" w:rsidR="00000000" w:rsidRPr="00000000">
        <w:rPr>
          <w:b w:val="1"/>
          <w:bCs w:val="1"/>
          <w:rtl w:val="0"/>
        </w:rPr>
        <w:t xml:space="preserve">Nguyễn Thị Quỳnh Nga</w:t>
      </w:r>
    </w:p>
    <w:p w:rsidR="00000000" w:rsidDel="00000000" w:rsidP="00000000" w:rsidRDefault="00000000" w:rsidRPr="00000000" w14:paraId="00000015">
      <w:pPr>
        <w:tabs>
          <w:tab w:val="left" w:leader="none" w:pos="425"/>
        </w:tabs>
        <w:spacing w:line="360" w:lineRule="auto"/>
        <w:jc w:val="center"/>
        <w:rPr/>
      </w:pPr>
      <w:r w:rsidDel="00000000" w:rsidR="00000000" w:rsidRPr="00000000">
        <w:rPr>
          <w:rtl w:val="0"/>
        </w:rPr>
        <w:t xml:space="preserve">Giảng viên Bộ môn Kinh doanh và Thương mại quốc tế</w:t>
      </w:r>
    </w:p>
    <w:p w:rsidR="00000000" w:rsidDel="00000000" w:rsidP="00000000" w:rsidRDefault="00000000" w:rsidRPr="00000000" w14:paraId="00000016">
      <w:pPr>
        <w:tabs>
          <w:tab w:val="left" w:leader="none" w:pos="425"/>
        </w:tabs>
        <w:spacing w:line="360" w:lineRule="auto"/>
        <w:jc w:val="center"/>
        <w:rPr>
          <w:i w:val="1"/>
          <w:iCs w:val="1"/>
        </w:rPr>
      </w:pPr>
      <w:r w:rsidDel="00000000" w:rsidR="00000000" w:rsidRPr="00000000">
        <w:rPr>
          <w:i w:val="1"/>
          <w:iCs w:val="1"/>
          <w:rtl w:val="0"/>
        </w:rPr>
        <w:t xml:space="preserve">Phân hiệu Trường Đại học Ngoại thương tại Thành phố hồ Chí Minh, Việt Nam</w:t>
      </w:r>
    </w:p>
    <w:p w:rsidR="00000000" w:rsidDel="00000000" w:rsidP="00000000" w:rsidRDefault="00000000" w:rsidRPr="00000000" w14:paraId="00000017">
      <w:pPr>
        <w:pBdr>
          <w:top w:color="000000" w:space="1" w:sz="4" w:val="single"/>
        </w:pBdr>
        <w:tabs>
          <w:tab w:val="left" w:leader="none" w:pos="425"/>
        </w:tabs>
        <w:spacing w:after="160" w:line="360" w:lineRule="auto"/>
        <w:ind w:right="480"/>
        <w:rPr>
          <w:b w:val="1"/>
          <w:bCs w:val="1"/>
        </w:rPr>
      </w:pPr>
      <w:r w:rsidDel="00000000" w:rsidR="00000000" w:rsidRPr="00000000">
        <w:rPr>
          <w:b w:val="1"/>
          <w:bCs w:val="1"/>
          <w:rtl w:val="0"/>
        </w:rPr>
        <w:t xml:space="preserve">Tóm tắt</w:t>
      </w:r>
    </w:p>
    <w:p w:rsidR="00000000" w:rsidDel="00000000" w:rsidP="00000000" w:rsidRDefault="00000000" w:rsidRPr="00000000" w14:paraId="00000018">
      <w:pPr>
        <w:tabs>
          <w:tab w:val="left" w:leader="none" w:pos="425"/>
        </w:tabs>
        <w:rPr/>
      </w:pPr>
      <w:r w:rsidDel="00000000" w:rsidR="00000000" w:rsidRPr="00000000">
        <w:rPr>
          <w:rtl w:val="0"/>
        </w:rPr>
        <w:t xml:space="preserve">Tiêu dùng thực phẩm bền vững thường đối mặt với khoảng cách lớn giữa ý định và hành vi thực tế. Nghiên cứu này nhằm làm rõ cơ chế chuyển hóa từ ý định sang hành vi mua thông qua việc tích hợp Thuyết Hành vi Dự định (TPB) và mô hình Động cơ – Cơ hội – Khả năng (MOA). Bằng phương pháp phân tích và tổng hợp lý thuyết, nghiên cứu lập luận rằng trong khi TPB giải thích sự hình thành ý định qua các yếu tố tâm lý, khung MOA xác định các điều kiện thực tiễn để hiện thực hóa ý định đó. Qua phân tích nhận thấy hành vi mua chỉ xuất hiện khi hội tụ đủ ba yếu tố: động cơ, cơ hội (sự sẵn có của sản phẩm) và năng lực (tài chính, kiến thức). Trong bối cảnh thực phẩm bền vững với rào cản về giá cả và kênh phân phối, sự thiếu hụt về “Cơ hội” và “Khả năng” là nguyên nhân chính khiến ý định không thành hành động. Nghiên cứu đề xuất một khung lý thuyết tích hợp, khẳng định tiêu dùng bền vững phụ thuộc vào sự tương thích giữa động lực cá nhân và cấu trúc thị trường, thay vì chỉ là lựa chọn cá nhân đơn thuần.</w:t>
      </w:r>
    </w:p>
    <w:p w:rsidR="00000000" w:rsidDel="00000000" w:rsidP="00000000" w:rsidRDefault="00000000" w:rsidRPr="00000000" w14:paraId="00000019">
      <w:pPr>
        <w:tabs>
          <w:tab w:val="left" w:leader="none" w:pos="425"/>
        </w:tabs>
        <w:rPr>
          <w:i w:val="1"/>
          <w:iCs w:val="1"/>
        </w:rPr>
      </w:pPr>
      <w:r w:rsidDel="00000000" w:rsidR="00000000" w:rsidRPr="00000000">
        <w:rPr>
          <w:b w:val="1"/>
          <w:bCs w:val="1"/>
          <w:rtl w:val="0"/>
        </w:rPr>
        <w:t xml:space="preserve">Từ khoá</w:t>
      </w:r>
      <w:r w:rsidDel="00000000" w:rsidR="00000000" w:rsidRPr="00000000">
        <w:rPr>
          <w:rtl w:val="0"/>
        </w:rPr>
        <w:t xml:space="preserve">: Tiêu dùng thực phẩm bền vững, Thuyết hành vi dự định (TPB), Mô hình MOA, Khoảng cách ý định - hành vi, Hành vi mua hàng</w:t>
      </w:r>
      <w:r w:rsidDel="00000000" w:rsidR="00000000" w:rsidRPr="00000000">
        <w:rPr>
          <w:rtl w:val="0"/>
        </w:rPr>
      </w:r>
    </w:p>
    <w:p w:rsidR="00000000" w:rsidDel="00000000" w:rsidP="00000000" w:rsidRDefault="00000000" w:rsidRPr="00000000" w14:paraId="0000001A">
      <w:pPr>
        <w:tabs>
          <w:tab w:val="left" w:leader="none" w:pos="425"/>
        </w:tabs>
        <w:spacing w:after="160" w:line="360" w:lineRule="auto"/>
        <w:ind w:right="480"/>
        <w:jc w:val="center"/>
        <w:rPr>
          <w:b w:val="1"/>
          <w:bCs w:val="1"/>
        </w:rPr>
      </w:pPr>
      <w:r w:rsidDel="00000000" w:rsidR="00000000" w:rsidRPr="00000000">
        <w:rPr>
          <w:rtl w:val="0"/>
        </w:rPr>
      </w:r>
    </w:p>
    <w:p w:rsidR="00000000" w:rsidDel="00000000" w:rsidP="00000000" w:rsidRDefault="00000000" w:rsidRPr="00000000" w14:paraId="0000001B">
      <w:pPr>
        <w:tabs>
          <w:tab w:val="left" w:leader="none" w:pos="425"/>
        </w:tabs>
        <w:spacing w:after="160" w:line="360" w:lineRule="auto"/>
        <w:ind w:right="480"/>
        <w:jc w:val="center"/>
        <w:rPr>
          <w:b w:val="1"/>
          <w:bCs w:val="1"/>
        </w:rPr>
      </w:pPr>
      <w:r w:rsidDel="00000000" w:rsidR="00000000" w:rsidRPr="00000000">
        <w:rPr>
          <w:b w:val="1"/>
          <w:bCs w:val="1"/>
          <w:rtl w:val="0"/>
        </w:rPr>
        <w:t xml:space="preserve">DEVELOPING AN INTEGRATED THEORETICAL FRAMEWORK BASED ON THE THEORY OF PLANNED BEHAVIOR AND THE MOTIVATION–OPPORTUNITY–ABILITY FRAMEWORK IN THE STUDY OF SUSTAINABLE FOOD PURCHASING BEHAVIOR</w:t>
      </w:r>
    </w:p>
    <w:p w:rsidR="00000000" w:rsidDel="00000000" w:rsidP="00000000" w:rsidRDefault="00000000" w:rsidRPr="00000000" w14:paraId="0000001C">
      <w:pPr>
        <w:tabs>
          <w:tab w:val="left" w:leader="none" w:pos="425"/>
        </w:tabs>
        <w:spacing w:after="160" w:line="360" w:lineRule="auto"/>
        <w:ind w:right="480"/>
        <w:rPr>
          <w:b w:val="1"/>
          <w:bCs w:val="1"/>
        </w:rPr>
      </w:pPr>
      <w:r w:rsidDel="00000000" w:rsidR="00000000" w:rsidRPr="00000000">
        <w:rPr>
          <w:b w:val="1"/>
          <w:bCs w:val="1"/>
          <w:rtl w:val="0"/>
        </w:rPr>
        <w:t xml:space="preserve">Abstract</w:t>
      </w:r>
    </w:p>
    <w:p w:rsidR="00000000" w:rsidDel="00000000" w:rsidP="00000000" w:rsidRDefault="00000000" w:rsidRPr="00000000" w14:paraId="0000001D">
      <w:pPr>
        <w:tabs>
          <w:tab w:val="left" w:leader="none" w:pos="425"/>
        </w:tabs>
        <w:rPr/>
      </w:pPr>
      <w:r w:rsidDel="00000000" w:rsidR="00000000" w:rsidRPr="00000000">
        <w:rPr>
          <w:rtl w:val="0"/>
        </w:rPr>
        <w:t xml:space="preserve">Sustainable food consumption often faces a significant gap between intention and actual behavior. This study aims to clarify the mechanism transforming intention into purchase behavior by integrating the Theory of Planned Behavior (TPB) and the Motivation–Opportunity–Ability (MOA) framework. Utilizing a theoretical analysis and synthesis approach, the study argues that while TPB explains intention formation through psychological factors, the MOA framework determines the practical conditions necessary for realizing that intention. The results indicate that purchase behavior only occurs when three factors converge: motivation, opportunity (product availability), and ability (financial capacity, knowledge). In the context of sustainable food, characterized by price barriers and limited distribution, deficiencies in “Opportunity” and “Ability” are the primary reasons intentions fail to translate into action. The study proposes an integrated theoretical framework, asserting that sustainable consumption depends on the compatibility between individual motivation and market structure, rather than being a purely individual choice.</w:t>
      </w:r>
    </w:p>
    <w:p w:rsidR="00000000" w:rsidDel="00000000" w:rsidP="00000000" w:rsidRDefault="00000000" w:rsidRPr="00000000" w14:paraId="0000001E">
      <w:pPr>
        <w:tabs>
          <w:tab w:val="left" w:leader="none" w:pos="425"/>
        </w:tabs>
        <w:rPr>
          <w:i w:val="1"/>
          <w:iCs w:val="1"/>
        </w:rPr>
      </w:pPr>
      <w:r w:rsidDel="00000000" w:rsidR="00000000" w:rsidRPr="00000000">
        <w:rPr>
          <w:b w:val="1"/>
          <w:bCs w:val="1"/>
          <w:rtl w:val="0"/>
        </w:rPr>
        <w:t xml:space="preserve">Keywords</w:t>
      </w:r>
      <w:r w:rsidDel="00000000" w:rsidR="00000000" w:rsidRPr="00000000">
        <w:rPr>
          <w:rtl w:val="0"/>
        </w:rPr>
        <w:t xml:space="preserve">: Sustainable food consumption, Theory of Planned Behavior (TPB), Motivation-Opportunity-Ability (MOA) model, Intention-behavior gap, Purchase behavior</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 w:val="left" w:leader="none" w:pos="2126"/>
          <w:tab w:val="left" w:leader="none" w:pos="4253"/>
          <w:tab w:val="left" w:leader="none" w:pos="8505"/>
        </w:tabs>
        <w:spacing w:after="60" w:before="12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Tổng quan nghiên cứu</w:t>
      </w:r>
    </w:p>
    <w:p w:rsidR="00000000" w:rsidDel="00000000" w:rsidP="00000000" w:rsidRDefault="00000000" w:rsidRPr="00000000" w14:paraId="00000020">
      <w:pPr>
        <w:tabs>
          <w:tab w:val="left" w:leader="none" w:pos="425"/>
          <w:tab w:val="left" w:leader="none" w:pos="720"/>
          <w:tab w:val="left" w:leader="none" w:pos="1440"/>
          <w:tab w:val="left" w:leader="none" w:pos="2126"/>
          <w:tab w:val="left" w:leader="none" w:pos="4253"/>
          <w:tab w:val="left" w:leader="none" w:pos="8505"/>
        </w:tabs>
        <w:spacing w:line="360" w:lineRule="auto"/>
        <w:rPr>
          <w:b w:val="1"/>
          <w:bCs w:val="1"/>
          <w:i w:val="1"/>
          <w:iCs w:val="1"/>
          <w:color w:val="000000"/>
        </w:rPr>
      </w:pPr>
      <w:r w:rsidDel="00000000" w:rsidR="00000000" w:rsidRPr="00000000">
        <w:rPr>
          <w:b w:val="1"/>
          <w:bCs w:val="1"/>
          <w:i w:val="1"/>
          <w:iCs w:val="1"/>
          <w:color w:val="000000"/>
          <w:rtl w:val="0"/>
        </w:rPr>
        <w:t xml:space="preserve">1.1.</w:t>
        <w:tab/>
        <w:t xml:space="preserve">Sự cần thiết nghiên cứu</w:t>
      </w:r>
    </w:p>
    <w:p w:rsidR="00000000" w:rsidDel="00000000" w:rsidP="00000000" w:rsidRDefault="00000000" w:rsidRPr="00000000" w14:paraId="00000021">
      <w:pPr>
        <w:tabs>
          <w:tab w:val="left" w:leader="none" w:pos="425"/>
        </w:tabs>
        <w:rPr/>
      </w:pPr>
      <w:r w:rsidDel="00000000" w:rsidR="00000000" w:rsidRPr="00000000">
        <w:rPr>
          <w:rtl w:val="0"/>
        </w:rPr>
        <w:tab/>
        <w:t xml:space="preserve">Trong những năm gần đây, tiêu dùng thực phẩm bền vững ngày càng được quan tâm như một hướng tiếp cận quan trọng nhằm giải quyết đồng thời các vấn đề về môi trường, sức khỏe cộng đồng và phát triển bền vững. Tuy nhiên, mặc dù số lượng nghiên cứu gia tăng đáng kể, lĩnh vực này vẫn thiếu một cách tiếp cận mang tính hệ thống và gắn kết. Phần lớn các công trình hiện có tập trung vào các yếu tố động cơ cá nhân như ý thức bảo vệ sức khỏe, quan tâm đến môi trường hay giá trị đạo đức, trong khi chưa xem xét đầy đủ những rào cản mang tính thực tiễn như độ nhạy cảm về giá, hạn chế trong hệ thống thông tin và khả năng tiếp cận sản phẩm (Guru et al., 2024; Nichifor et al., 2025). Do đó, các mô hình giải thích hành vi tiêu dùng bền vững thường có xu hướng lý tưởng hóa động cơ, mà chưa phản ánh đầy đủ những điều kiện thị trường chi phối quyết định mua trong thực tế.</w:t>
      </w:r>
    </w:p>
    <w:p w:rsidR="00000000" w:rsidDel="00000000" w:rsidP="00000000" w:rsidRDefault="00000000" w:rsidRPr="00000000" w14:paraId="00000022">
      <w:pPr>
        <w:tabs>
          <w:tab w:val="left" w:leader="none" w:pos="425"/>
        </w:tabs>
        <w:rPr/>
      </w:pPr>
      <w:r w:rsidDel="00000000" w:rsidR="00000000" w:rsidRPr="00000000">
        <w:rPr>
          <w:rtl w:val="0"/>
        </w:rPr>
        <w:tab/>
        <w:t xml:space="preserve">Trong bối cảnh đó, Thuyết Hành vi Dự định (TPB – Theory of Planned Behavior) được sử dụng rộng rãi nhằm giải thích quá trình hình thành ý định mua thông qua thái độ, chuẩn mực chủ quan và nhận thức về khả năng kiểm soát hành vi. Tuy nhiên, phần lớn các nghiên cứu ứng dụng TPB mới chỉ dừng lại ở việc phân tích ý định, trong khi hành vi mua thực tế lại chịu tác động mạnh mẽ từ các yếu tố hoàn cảnh và điều kiện thị trường (Chuyen et al., 2025; Hung et al., 2025). Việc phụ thuộc chủ yếu vào dữ liệu tự báo cáo và thiết kế nghiên cứu đơn quốc gia càng làm gia tăng khoảng cách giữa ý định và hành vi. Vì vậy, TPB giúp lý giải vì sao người tiêu dùng hình thành mong muốn mua, nhưng chưa đủ để giải thích vì sao mong muốn đó có thể hoặc không thể được chuyển hóa thành hành vi cụ thể. </w:t>
      </w:r>
    </w:p>
    <w:p w:rsidR="00000000" w:rsidDel="00000000" w:rsidP="00000000" w:rsidRDefault="00000000" w:rsidRPr="00000000" w14:paraId="00000023">
      <w:pPr>
        <w:tabs>
          <w:tab w:val="left" w:leader="none" w:pos="425"/>
        </w:tabs>
        <w:rPr/>
      </w:pPr>
      <w:r w:rsidDel="00000000" w:rsidR="00000000" w:rsidRPr="00000000">
        <w:rPr>
          <w:rtl w:val="0"/>
        </w:rPr>
        <w:tab/>
        <w:t xml:space="preserve">Chính khoảng trống này cho thấy sự cần thiết phải bổ sung một khung tiếp cận nhấn mạnh các điều kiện thực thi hành vi, trong đó khung Động cơ – Cơ hội – Khả năng (MOA – Motivation–Opportunity–Ability) được xem là phù hợp. MOA cho phép giải thích hành vi không chỉ dựa trên động cơ, mà còn dựa trên sự hiện diện của cơ hội từ môi trường tiêu dùng và năng lực cá nhân trong việc tiếp cận, xử lý và sử dụng thông tin. Tuy nhiên, cho đến nay, MOA chủ yếu được áp dụng trong các bối cảnh môi trường hoặc tổ chức và chưa được kiểm định đầy đủ trong lĩnh vực hành vi người tiêu dùng và marketing (Binney et al., 2006).</w:t>
      </w:r>
    </w:p>
    <w:p w:rsidR="00000000" w:rsidDel="00000000" w:rsidP="00000000" w:rsidRDefault="00000000" w:rsidRPr="00000000" w14:paraId="00000024">
      <w:pPr>
        <w:tabs>
          <w:tab w:val="left" w:leader="none" w:pos="425"/>
        </w:tabs>
        <w:rPr/>
      </w:pPr>
      <w:r w:rsidDel="00000000" w:rsidR="00000000" w:rsidRPr="00000000">
        <w:rPr>
          <w:rtl w:val="0"/>
        </w:rPr>
        <w:tab/>
        <w:t xml:space="preserve">Từ đó, nghiên cứu này đề xuất tích hợp TPB và MOA nhằm xây dựng một mô hình phân tích mang tính liên kết và toàn diện hơn, trong đó TPB làm rõ cơ chế hình thành ý định, còn MOA giải thích các điều kiện cần thiết để ý định được chuyển hóa thành hành vi, qua đó phản ánh đầy đủ hơn bản chất của quyết định mua thực phẩm bền vững trong bối cảnh Thành phố Hồ Chí Minh.</w:t>
      </w:r>
    </w:p>
    <w:p w:rsidR="00000000" w:rsidDel="00000000" w:rsidP="00000000" w:rsidRDefault="00000000" w:rsidRPr="00000000" w14:paraId="00000025">
      <w:pPr>
        <w:tabs>
          <w:tab w:val="left" w:leader="none" w:pos="425"/>
          <w:tab w:val="left" w:leader="none" w:pos="720"/>
          <w:tab w:val="left" w:leader="none" w:pos="1440"/>
          <w:tab w:val="left" w:leader="none" w:pos="2126"/>
          <w:tab w:val="left" w:leader="none" w:pos="4253"/>
          <w:tab w:val="left" w:leader="none" w:pos="8505"/>
        </w:tabs>
        <w:spacing w:line="360" w:lineRule="auto"/>
        <w:rPr>
          <w:b w:val="1"/>
          <w:bCs w:val="1"/>
          <w:i w:val="1"/>
          <w:iCs w:val="1"/>
          <w:color w:val="000000"/>
        </w:rPr>
      </w:pPr>
      <w:r w:rsidDel="00000000" w:rsidR="00000000" w:rsidRPr="00000000">
        <w:rPr>
          <w:b w:val="1"/>
          <w:bCs w:val="1"/>
          <w:i w:val="1"/>
          <w:iCs w:val="1"/>
          <w:color w:val="000000"/>
          <w:rtl w:val="0"/>
        </w:rPr>
        <w:t xml:space="preserve">1.2.</w:t>
        <w:tab/>
        <w:t xml:space="preserve">Mục tiêu nghiên cứu</w:t>
      </w:r>
    </w:p>
    <w:p w:rsidR="00000000" w:rsidDel="00000000" w:rsidP="00000000" w:rsidRDefault="00000000" w:rsidRPr="00000000" w14:paraId="00000026">
      <w:pPr>
        <w:tabs>
          <w:tab w:val="left" w:leader="none" w:pos="425"/>
          <w:tab w:val="left" w:leader="none" w:pos="720"/>
          <w:tab w:val="left" w:leader="none" w:pos="1440"/>
          <w:tab w:val="left" w:leader="none" w:pos="1560"/>
          <w:tab w:val="left" w:leader="none" w:pos="2126"/>
          <w:tab w:val="left" w:leader="none" w:pos="4253"/>
          <w:tab w:val="left" w:leader="none" w:pos="8505"/>
        </w:tabs>
        <w:spacing w:line="360" w:lineRule="auto"/>
        <w:rPr/>
      </w:pPr>
      <w:r w:rsidDel="00000000" w:rsidR="00000000" w:rsidRPr="00000000">
        <w:rPr>
          <w:rtl w:val="0"/>
        </w:rPr>
        <w:tab/>
        <w:t xml:space="preserve">Nghiên cứu này nhằm kế thừa và phát triển một mô hình tích hợp giữa Thuyết Hành vi Dự định (TPB) và khung Động cơ – Cơ hội – Khả năng (MOA) để phân tích cơ chế tác động thực sự của marketing đến hành vi mua thực phẩm bền vững tại Thành phố Hồ Chí Minh. Mô hình giúp làm rõ vai trò trung gian của các biến TPB trong hình thành ý định và vai trò điều tiết của các thành tố MOA trong việc chuyển hóa ý định thành hành vi, qua đó thu hẹp khoảng cách giữa nhận thức bền vững và hành vi tiêu dùng thực tế.</w:t>
      </w:r>
    </w:p>
    <w:p w:rsidR="00000000" w:rsidDel="00000000" w:rsidP="00000000" w:rsidRDefault="00000000" w:rsidRPr="00000000" w14:paraId="00000027">
      <w:pPr>
        <w:tabs>
          <w:tab w:val="left" w:leader="none" w:pos="425"/>
          <w:tab w:val="left" w:leader="none" w:pos="720"/>
          <w:tab w:val="left" w:leader="none" w:pos="1440"/>
          <w:tab w:val="left" w:leader="none" w:pos="2126"/>
          <w:tab w:val="left" w:leader="none" w:pos="4253"/>
          <w:tab w:val="left" w:leader="none" w:pos="8505"/>
        </w:tabs>
        <w:spacing w:line="360" w:lineRule="auto"/>
        <w:rPr>
          <w:b w:val="1"/>
          <w:bCs w:val="1"/>
          <w:i w:val="1"/>
          <w:iCs w:val="1"/>
          <w:color w:val="000000"/>
        </w:rPr>
      </w:pPr>
      <w:r w:rsidDel="00000000" w:rsidR="00000000" w:rsidRPr="00000000">
        <w:rPr>
          <w:b w:val="1"/>
          <w:bCs w:val="1"/>
          <w:i w:val="1"/>
          <w:iCs w:val="1"/>
          <w:color w:val="000000"/>
          <w:rtl w:val="0"/>
        </w:rPr>
        <w:t xml:space="preserve">1.3.</w:t>
        <w:tab/>
        <w:t xml:space="preserve">Phương pháp nghiên cứu</w:t>
      </w:r>
    </w:p>
    <w:p w:rsidR="00000000" w:rsidDel="00000000" w:rsidP="00000000" w:rsidRDefault="00000000" w:rsidRPr="00000000" w14:paraId="00000028">
      <w:pPr>
        <w:tabs>
          <w:tab w:val="left" w:leader="none" w:pos="425"/>
        </w:tabs>
        <w:rPr/>
      </w:pPr>
      <w:r w:rsidDel="00000000" w:rsidR="00000000" w:rsidRPr="00000000">
        <w:rPr>
          <w:rtl w:val="0"/>
        </w:rPr>
        <w:tab/>
        <w:t xml:space="preserve">Đề tài sử dụng phương pháp nghiên cứu lý thuyết, kết hợp các kỹ thuật phân tích, tổng hợp và suy luận logic trên cơ sở kế thừa có chọn lọc các nghiên cứu trước đây. Nghiên cứu tiến hành hệ thống hóa các khung lý thuyết TPB, MOA, Lý thuyết Giá trị Tiêu dùng và Marketing bền vững, từ đó xây dựng khung lý thuyết tích hợp, đề xuất mô hình nghiên cứu và phát triển các giả thuyết nghiên cứu, mà không thực hiện kiểm định thực nghiệm.</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 w:val="left" w:leader="none" w:pos="2126"/>
          <w:tab w:val="left" w:leader="none" w:pos="4253"/>
          <w:tab w:val="left" w:leader="none" w:pos="8505"/>
        </w:tabs>
        <w:spacing w:after="60" w:before="12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tab/>
        <w:t xml:space="preserve">Tổng quan lí thuyết</w:t>
      </w:r>
    </w:p>
    <w:p w:rsidR="00000000" w:rsidDel="00000000" w:rsidP="00000000" w:rsidRDefault="00000000" w:rsidRPr="00000000" w14:paraId="0000002A">
      <w:pPr>
        <w:tabs>
          <w:tab w:val="left" w:leader="none" w:pos="425"/>
          <w:tab w:val="left" w:leader="none" w:pos="720"/>
          <w:tab w:val="left" w:leader="none" w:pos="1440"/>
          <w:tab w:val="left" w:leader="none" w:pos="2126"/>
          <w:tab w:val="left" w:leader="none" w:pos="4253"/>
          <w:tab w:val="left" w:leader="none" w:pos="8505"/>
        </w:tabs>
        <w:spacing w:line="360" w:lineRule="auto"/>
        <w:rPr>
          <w:b w:val="1"/>
          <w:bCs w:val="1"/>
          <w:i w:val="1"/>
          <w:iCs w:val="1"/>
          <w:color w:val="000000"/>
        </w:rPr>
      </w:pPr>
      <w:r w:rsidDel="00000000" w:rsidR="00000000" w:rsidRPr="00000000">
        <w:rPr>
          <w:b w:val="1"/>
          <w:bCs w:val="1"/>
          <w:i w:val="1"/>
          <w:iCs w:val="1"/>
          <w:color w:val="000000"/>
          <w:rtl w:val="0"/>
        </w:rPr>
        <w:t xml:space="preserve">2.1.</w:t>
        <w:tab/>
        <w:t xml:space="preserve">Tổng quan lý thuyết về Thuyết Hành vi Dự định</w:t>
      </w:r>
    </w:p>
    <w:p w:rsidR="00000000" w:rsidDel="00000000" w:rsidP="00000000" w:rsidRDefault="00000000" w:rsidRPr="00000000" w14:paraId="0000002B">
      <w:pPr>
        <w:tabs>
          <w:tab w:val="left" w:leader="none" w:pos="425"/>
          <w:tab w:val="left" w:leader="none" w:pos="720"/>
          <w:tab w:val="left" w:leader="none" w:pos="1440"/>
          <w:tab w:val="left" w:leader="none" w:pos="1560"/>
          <w:tab w:val="left" w:leader="none" w:pos="2126"/>
          <w:tab w:val="left" w:leader="none" w:pos="4253"/>
          <w:tab w:val="left" w:leader="none" w:pos="8505"/>
        </w:tabs>
        <w:spacing w:line="360" w:lineRule="auto"/>
        <w:jc w:val="center"/>
        <w:rPr>
          <w:b w:val="1"/>
          <w:bCs w:val="1"/>
          <w:i w:val="1"/>
          <w:iCs w:val="1"/>
        </w:rPr>
      </w:pPr>
      <w:r w:rsidDel="00000000" w:rsidR="00000000" w:rsidRPr="00000000">
        <w:rPr/>
        <w:drawing>
          <wp:inline distB="0" distT="0" distL="0" distR="0">
            <wp:extent cx="1948186" cy="1627858"/>
            <wp:effectExtent b="0" l="0" r="0" t="0"/>
            <wp:docPr id="157677000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948186" cy="1627858"/>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tabs>
          <w:tab w:val="left" w:leader="none" w:pos="425"/>
        </w:tabs>
        <w:rPr>
          <w:i w:val="1"/>
          <w:iCs w:val="1"/>
        </w:rPr>
      </w:pPr>
      <w:r w:rsidDel="00000000" w:rsidR="00000000" w:rsidRPr="00000000">
        <w:rPr>
          <w:rtl w:val="0"/>
        </w:rPr>
        <w:t xml:space="preserve">Hình 1. Mô hình Thuyết Hành vi Dự định (TPB)</w:t>
      </w:r>
      <w:r w:rsidDel="00000000" w:rsidR="00000000" w:rsidRPr="00000000">
        <w:rPr>
          <w:rtl w:val="0"/>
        </w:rPr>
      </w:r>
    </w:p>
    <w:p w:rsidR="00000000" w:rsidDel="00000000" w:rsidP="00000000" w:rsidRDefault="00000000" w:rsidRPr="00000000" w14:paraId="0000002D">
      <w:pPr>
        <w:tabs>
          <w:tab w:val="left" w:leader="none" w:pos="425"/>
        </w:tabs>
        <w:rPr>
          <w:i w:val="1"/>
          <w:iCs w:val="1"/>
        </w:rPr>
      </w:pPr>
      <w:r w:rsidDel="00000000" w:rsidR="00000000" w:rsidRPr="00000000">
        <w:rPr>
          <w:i w:val="1"/>
          <w:iCs w:val="1"/>
          <w:rtl w:val="0"/>
        </w:rPr>
        <w:t xml:space="preserve">Nguồn: (Ajzen, 1991)</w:t>
      </w:r>
    </w:p>
    <w:p w:rsidR="00000000" w:rsidDel="00000000" w:rsidP="00000000" w:rsidRDefault="00000000" w:rsidRPr="00000000" w14:paraId="0000002E">
      <w:pPr>
        <w:tabs>
          <w:tab w:val="left" w:leader="none" w:pos="425"/>
        </w:tabs>
        <w:rPr/>
      </w:pPr>
      <w:bookmarkStart w:colFirst="0" w:colLast="0" w:name="_heading=h.phb94n107j5a" w:id="1"/>
      <w:bookmarkEnd w:id="1"/>
      <w:r w:rsidDel="00000000" w:rsidR="00000000" w:rsidRPr="00000000">
        <w:rPr>
          <w:rtl w:val="0"/>
        </w:rPr>
        <w:tab/>
        <w:t xml:space="preserve">Thuyết Hành vi Dự định (Theory of Planned Behavior – TPB) do Ajzen (1991) phát triển nhằm giải thích các hành vi không hoàn toàn nằm dưới sự kiểm soát tự nguyện của cá nhân. TPB cho rằng hành vi được dự báo trực tiếp bởi ý định hành vi (behavioral intention), và ý định này được hình thành từ ba yếu tố cốt lõi: thái độ đối với hành vi, chuẩn chủ quan và nhận thức về khả năng kiểm soát hành vi (PBC).</w:t>
      </w:r>
    </w:p>
    <w:p w:rsidR="00000000" w:rsidDel="00000000" w:rsidP="00000000" w:rsidRDefault="00000000" w:rsidRPr="00000000" w14:paraId="0000002F">
      <w:pPr>
        <w:tabs>
          <w:tab w:val="left" w:leader="none" w:pos="425"/>
        </w:tabs>
        <w:rPr/>
      </w:pPr>
      <w:r w:rsidDel="00000000" w:rsidR="00000000" w:rsidRPr="00000000">
        <w:rPr>
          <w:rtl w:val="0"/>
        </w:rPr>
        <w:tab/>
        <w:t xml:space="preserve">Thái độ phản ánh mức độ đánh giá tích cực hay tiêu cực của cá nhân đối với hành vi; chuẩn chủ quan thể hiện áp lực xã hội được nhận thức về việc có nên thực hiện hành vi hay không; còn PBC phản ánh cảm nhận của cá nhân về khả năng thực hiện hành vi trong điều kiện nguồn lực và rào cản hiện có (Ajzen, 1991). PBC vừa ảnh hưởng gián tiếp đến hành vi thông qua ý định, vừa có thể tác động trực tiếp khi nó phản ánh tương đối chính xác mức độ kiểm soát thực tế.</w:t>
      </w:r>
    </w:p>
    <w:p w:rsidR="00000000" w:rsidDel="00000000" w:rsidP="00000000" w:rsidRDefault="00000000" w:rsidRPr="00000000" w14:paraId="00000030">
      <w:pPr>
        <w:tabs>
          <w:tab w:val="left" w:leader="none" w:pos="425"/>
        </w:tabs>
        <w:rPr/>
      </w:pPr>
      <w:r w:rsidDel="00000000" w:rsidR="00000000" w:rsidRPr="00000000">
        <w:rPr>
          <w:rtl w:val="0"/>
        </w:rPr>
        <w:tab/>
        <w:t xml:space="preserve">TPB là một trong những lý thuyết được sử dụng rộng rãi nhất trong nghiên cứu hành vi, đặc biệt trong các lĩnh vực sức khỏe, môi trường và tiêu dùng (Conner, Armitage, 1998). Trong lĩnh vực sức khỏe, TPB được áp dụng để nghiên cứu các hành vi như cai thuốc lá, tập thể dục và tuân thủ điều trị. Trong lĩnh vực môi trường và phát triển bền vững, mô hình này được sử dụng để phân tích hành vi tái chế, tiết kiệm năng lượng và tiêu dùng xanh. Đặc biệt, trong nghiên cứu tiêu dùng và marketing, TPB được áp dụng nhằm giải thích ý định mua sản phẩm thân thiện môi trường và hành vi tiêu dùng bền vững. Han, Stoel (2017) cho thấy TPB có hiệu quả cao trong việc dự báo ý định mua các sản phẩm bền vững.</w:t>
      </w:r>
    </w:p>
    <w:p w:rsidR="00000000" w:rsidDel="00000000" w:rsidP="00000000" w:rsidRDefault="00000000" w:rsidRPr="00000000" w14:paraId="00000031">
      <w:pPr>
        <w:tabs>
          <w:tab w:val="left" w:leader="none" w:pos="425"/>
        </w:tabs>
        <w:rPr/>
      </w:pPr>
      <w:r w:rsidDel="00000000" w:rsidR="00000000" w:rsidRPr="00000000">
        <w:rPr>
          <w:rtl w:val="0"/>
        </w:rPr>
        <w:tab/>
        <w:t xml:space="preserve">Đóng góp trung tâm của TPB là làm rõ cơ chế hình thành ý định hành vi, qua đó trả lời câu hỏi vì sao con người muốn thực hiện một hành vi. Ý định được hình thành từ sự kết hợp giữa đánh giá cá nhân về hành vi, áp lực xã hội và cảm nhận về năng lực kiểm soát của bản thân (Ajzen, 1991). Các nghiên cứu tổng hợp cho thấy TPB có năng lực dự báo tương đối tốt. Conner &amp;  Armitage (1998) đã chỉ ra rằng ý định và PBC có thể giải thích khoảng 25–30% phương sai của hành vi thực tế và khoảng 40% phương sai của ý định. Sheeran (2002) cũng khẳng định mối quan hệ giữa ý định và hành vi có ý nghĩa thống kê ổn định trong nhiều bối cảnh.</w:t>
      </w:r>
    </w:p>
    <w:p w:rsidR="00000000" w:rsidDel="00000000" w:rsidP="00000000" w:rsidRDefault="00000000" w:rsidRPr="00000000" w14:paraId="00000032">
      <w:pPr>
        <w:tabs>
          <w:tab w:val="left" w:leader="none" w:pos="425"/>
        </w:tabs>
        <w:rPr/>
      </w:pPr>
      <w:r w:rsidDel="00000000" w:rsidR="00000000" w:rsidRPr="00000000">
        <w:rPr>
          <w:rtl w:val="0"/>
        </w:rPr>
        <w:tab/>
        <w:t xml:space="preserve">Tuy nhiên, TPB còn hạn chế trong việc giải thích quá trình chuyển hóa từ ý định sang hành vi thực tế, thể hiện qua hiện tượng “intention–behavior gap”, khi mối quan hệ giữa ý định và hành vi thường yếu hơn đáng kể so với mối quan hệ giữa các biến TPB và ý định (Sheeran, 2002). Ajzen (1991) cho rằng PBC chỉ phản ánh khả năng kiểm soát thực tế khi nhận thức của cá nhân tương đối chính xác; trong khi đó, các rào cản khách quan như hạn chế tài chính, thiếu thông tin, sự khan hiếm lựa chọn, thói quen tiêu dùng và điều kiện thị trường có thể khiến hành vi không xảy ra dù ý định đã hình thành. Đồng thời, Sniehotta (2009) phát hiện phần lớn bằng chứng ủng hộ TPB dựa trên các nghiên cứu tương quan, chưa đủ mạnh để khẳng định mối quan hệ nhân quả giữa các biến nhận thức và hành vi.</w:t>
      </w:r>
    </w:p>
    <w:p w:rsidR="00000000" w:rsidDel="00000000" w:rsidP="00000000" w:rsidRDefault="00000000" w:rsidRPr="00000000" w14:paraId="00000033">
      <w:pPr>
        <w:tabs>
          <w:tab w:val="left" w:leader="none" w:pos="425"/>
        </w:tabs>
        <w:rPr/>
      </w:pPr>
      <w:r w:rsidDel="00000000" w:rsidR="00000000" w:rsidRPr="00000000">
        <w:rPr>
          <w:rtl w:val="0"/>
        </w:rPr>
        <w:tab/>
        <w:t xml:space="preserve">Trong bối cảnh tiêu dùng thực phẩm bền vững, hạn chế này đặc biệt rõ rệt: người tiêu dùng có thể có thái độ tích cực và ý định mạnh mẽ, nhưng hành vi mua thực tế lại phụ thuộc lớn vào giá cả, khả năng tiếp cận và thông tin sản phẩm (Han, Stoel, 2017). Do đó, TPB chủ yếu giải thích “vì sao người tiêu dùng muốn mua”, hơn là “vì sao họ có thể hoặc không thể hiện thực hóa ý định đó trong thực tiễn”.</w:t>
      </w:r>
    </w:p>
    <w:p w:rsidR="00000000" w:rsidDel="00000000" w:rsidP="00000000" w:rsidRDefault="00000000" w:rsidRPr="00000000" w14:paraId="00000034">
      <w:pPr>
        <w:tabs>
          <w:tab w:val="left" w:leader="none" w:pos="425"/>
          <w:tab w:val="left" w:leader="none" w:pos="720"/>
          <w:tab w:val="left" w:leader="none" w:pos="1440"/>
          <w:tab w:val="left" w:leader="none" w:pos="2126"/>
          <w:tab w:val="left" w:leader="none" w:pos="4253"/>
          <w:tab w:val="left" w:leader="none" w:pos="8505"/>
        </w:tabs>
        <w:spacing w:after="0" w:line="360" w:lineRule="auto"/>
        <w:rPr>
          <w:b w:val="1"/>
          <w:bCs w:val="1"/>
          <w:i w:val="1"/>
          <w:iCs w:val="1"/>
          <w:color w:val="000000"/>
        </w:rPr>
      </w:pPr>
      <w:r w:rsidDel="00000000" w:rsidR="00000000" w:rsidRPr="00000000">
        <w:rPr>
          <w:b w:val="1"/>
          <w:bCs w:val="1"/>
          <w:i w:val="1"/>
          <w:iCs w:val="1"/>
          <w:color w:val="000000"/>
          <w:rtl w:val="0"/>
        </w:rPr>
        <w:t xml:space="preserve">2.2.</w:t>
        <w:tab/>
        <w:t xml:space="preserve">Tổng quan lý thuyết về Khung lý thuyết MOA (Động cơ – Cơ hội – Khả năng)</w:t>
      </w:r>
    </w:p>
    <w:p w:rsidR="00000000" w:rsidDel="00000000" w:rsidP="00000000" w:rsidRDefault="00000000" w:rsidRPr="00000000" w14:paraId="00000035">
      <w:pPr>
        <w:tabs>
          <w:tab w:val="left" w:leader="none" w:pos="425"/>
        </w:tabs>
        <w:rPr/>
      </w:pPr>
      <w:r w:rsidDel="00000000" w:rsidR="00000000" w:rsidRPr="00000000">
        <w:rPr>
          <w:rtl w:val="0"/>
        </w:rPr>
        <w:tab/>
        <w:t xml:space="preserve">Khung lý thuyết Động cơ – Cơ hội – Khả năng (Motivation–Opportunity–Ability – MOA) được xây dựng nhằm chuyển trọng tâm phân tích hành vi từ “muốn làm” sang “có thể làm trong thực tế”. MOA cho rằng hành vi chỉ xảy ra khi ba điều kiện đồng thời tồn tại: cá nhân có động cơ đủ mạnh (Motivation), có cơ hội phù hợp từ môi trường (Opportunity) và có năng lực thực hiện hành vi (Ability) (Binney et al., 2006, 2007). Nếu thiếu một trong ba yếu tố này, hành vi khó có thể hình thành, dù ý định đã tồn tại.</w:t>
      </w:r>
    </w:p>
    <w:p w:rsidR="00000000" w:rsidDel="00000000" w:rsidP="00000000" w:rsidRDefault="00000000" w:rsidRPr="00000000" w14:paraId="00000036">
      <w:pPr>
        <w:tabs>
          <w:tab w:val="left" w:leader="none" w:pos="425"/>
        </w:tabs>
        <w:rPr/>
      </w:pPr>
      <w:r w:rsidDel="00000000" w:rsidR="00000000" w:rsidRPr="00000000">
        <w:rPr>
          <w:rtl w:val="0"/>
        </w:rPr>
        <w:tab/>
        <w:t xml:space="preserve">Trong đó, động cơ phản ánh mức độ sẵn sàng hành động và bao gồm cả động cơ nội tại và động cơ ngoại tại. Binney et al. (2007) cho thấy động cơ nội tại – xuất phát từ giá trị cá nhân và sự thỏa mãn bên trong – là yếu tố quyết định đối với hành vi bền vững dài hạn, trong khi động cơ ngoại tại chủ yếu tạo ra sự tuân thủ ngắn hạn. Cơ hội đề cập đến các điều kiện khách quan như sự sẵn có của sản phẩm, thông tin, thời gian, nguồn lực tài chính và hạ tầng thị trường. Khả năng phản ánh nguồn lực nội tại của cá nhân, bao gồm kiến thức, kỹ năng và năng lực xử lý thông tin cần thiết để thực hiện hành vi.</w:t>
        <w:tab/>
      </w:r>
    </w:p>
    <w:p w:rsidR="00000000" w:rsidDel="00000000" w:rsidP="00000000" w:rsidRDefault="00000000" w:rsidRPr="00000000" w14:paraId="00000037">
      <w:pPr>
        <w:tabs>
          <w:tab w:val="left" w:leader="none" w:pos="425"/>
        </w:tabs>
        <w:rPr/>
      </w:pPr>
      <w:r w:rsidDel="00000000" w:rsidR="00000000" w:rsidRPr="00000000">
        <w:rPr>
          <w:rtl w:val="0"/>
        </w:rPr>
        <w:tab/>
        <w:t xml:space="preserve">MOA được áp dụng rộng rãi trong nhiều lĩnh vực. Trong quản trị và chuỗi cung ứng, mô hình này giải thích hiệu quả của chuyển giao tri thức, cho thấy tri thức chỉ được tiếp nhận khi bên nhận có đủ động cơ, cơ hội và năng lực (Kim et al., 2015). Trong nghiên cứu hành vi xã hội và cộng đồng, MOA chỉ ra rằng thái độ tích cực là chưa đủ nếu thiếu điều kiện và khả năng hành động (Ou-Yang et al., 1995; Raimondo et al., 2024). Trong nghiên cứu tiêu dùng bền vững, MOA nhấn mạnh vai trò của khả năng tiếp cận sản phẩm, điều kiện thị trường và trình độ hiểu biết bên cạnh yếu tố động cơ.</w:t>
      </w:r>
    </w:p>
    <w:p w:rsidR="00000000" w:rsidDel="00000000" w:rsidP="00000000" w:rsidRDefault="00000000" w:rsidRPr="00000000" w14:paraId="00000038">
      <w:pPr>
        <w:tabs>
          <w:tab w:val="left" w:leader="none" w:pos="425"/>
        </w:tabs>
        <w:rPr/>
      </w:pPr>
      <w:r w:rsidDel="00000000" w:rsidR="00000000" w:rsidRPr="00000000">
        <w:rPr>
          <w:rtl w:val="0"/>
        </w:rPr>
        <w:tab/>
        <w:t xml:space="preserve">Đóng góp cốt lõi của MOA là giải thích vì sao ý định không tự động dẫn đến hành vi. Mô hình cho thấy hành vi chỉ xảy ra khi cá nhân không chỉ “muốn làm” mà còn “có thể làm” và “được tạo điều kiện để làm”. Nhờ đó, MOA làm rõ vai trò của các rào cản môi trường và năng lực thực hiện trong việc quyết định hành vi thực tế, đồng thời giúp giải thích sự khác biệt trong hiệu quả của cùng một chính sách hay chương trình can thiệp giữa các nhóm đối tượng khác nhau.</w:t>
      </w:r>
    </w:p>
    <w:p w:rsidR="00000000" w:rsidDel="00000000" w:rsidP="00000000" w:rsidRDefault="00000000" w:rsidRPr="00000000" w14:paraId="00000039">
      <w:pPr>
        <w:tabs>
          <w:tab w:val="left" w:leader="none" w:pos="425"/>
        </w:tabs>
        <w:rPr/>
      </w:pPr>
      <w:r w:rsidDel="00000000" w:rsidR="00000000" w:rsidRPr="00000000">
        <w:rPr>
          <w:rtl w:val="0"/>
        </w:rPr>
        <w:tab/>
        <w:t xml:space="preserve">Tuy nhiên, hạn chế của MOA là mô hình này tập trung vào các điều kiện thực thi hành vi hơn là giải thích nguồn gốc tâm lý của động cơ. MOA cho biết khi nào hành vi có thể xảy ra, nhưng ít lý giải vì sao cá nhân hình thành các giá trị, niềm tin hay chuẩn mực đạo đức dẫn đến động cơ hành động. Do đó, MOA được xem là một khung lý thuyết mạnh để phân tích hành vi ở tầng thực tiễn và bối cảnh, hơn là để giải thích cơ chế tâm lý hình thành ý định.</w:t>
      </w:r>
    </w:p>
    <w:p w:rsidR="00000000" w:rsidDel="00000000" w:rsidP="00000000" w:rsidRDefault="00000000" w:rsidRPr="00000000" w14:paraId="0000003A">
      <w:pPr>
        <w:tabs>
          <w:tab w:val="left" w:leader="none" w:pos="425"/>
          <w:tab w:val="left" w:leader="none" w:pos="720"/>
          <w:tab w:val="left" w:leader="none" w:pos="1440"/>
          <w:tab w:val="left" w:leader="none" w:pos="2126"/>
          <w:tab w:val="left" w:leader="none" w:pos="4253"/>
          <w:tab w:val="left" w:leader="none" w:pos="8505"/>
        </w:tabs>
        <w:spacing w:after="0" w:line="360" w:lineRule="auto"/>
        <w:rPr>
          <w:b w:val="1"/>
          <w:bCs w:val="1"/>
          <w:i w:val="1"/>
          <w:iCs w:val="1"/>
          <w:color w:val="000000"/>
        </w:rPr>
      </w:pPr>
      <w:r w:rsidDel="00000000" w:rsidR="00000000" w:rsidRPr="00000000">
        <w:rPr>
          <w:b w:val="1"/>
          <w:bCs w:val="1"/>
          <w:i w:val="1"/>
          <w:iCs w:val="1"/>
          <w:color w:val="000000"/>
          <w:rtl w:val="0"/>
        </w:rPr>
        <w:t xml:space="preserve">2.3.</w:t>
        <w:tab/>
        <w:t xml:space="preserve">Cơ sở lý luận của việc tích hợp khung lý thuyết TPB và MOA</w:t>
      </w:r>
    </w:p>
    <w:p w:rsidR="00000000" w:rsidDel="00000000" w:rsidP="00000000" w:rsidRDefault="00000000" w:rsidRPr="00000000" w14:paraId="0000003B">
      <w:pPr>
        <w:tabs>
          <w:tab w:val="left" w:leader="none" w:pos="425"/>
        </w:tabs>
        <w:rPr/>
      </w:pPr>
      <w:r w:rsidDel="00000000" w:rsidR="00000000" w:rsidRPr="00000000">
        <w:rPr>
          <w:rtl w:val="0"/>
        </w:rPr>
        <w:tab/>
        <w:t xml:space="preserve">Việc kết hợp Thuyết Hành vi có Kế hoạch (Theory of Planned Behavior – TPB) và khung Động cơ – Cơ hội – Khả năng (Motivation–Opportunity–Ability – MOA) cho phép giải quyết trực tiếp khoảng cách giữa ý định và hành vi thực tế (intention–behavior gap), một hạn chế dai dẳng trong nghiên cứu hành vi tiêu dùng (Sheeran, 2002). Trong khi TPB giải thích hiệu quả quá trình hình thành ý định thông qua thái độ, chuẩn chủ quan và nhận thức kiểm soát hành vi (Ajzen, 1991), lý thuyết này lại chưa lý giải thỏa đáng tại sao ý định mạnh mẽ không phải lúc nào cũng dẫn đến hành vi thực tế, đặc biệt khi thiếu các điều kiện hỗ trợ khách quan.</w:t>
      </w:r>
    </w:p>
    <w:p w:rsidR="00000000" w:rsidDel="00000000" w:rsidP="00000000" w:rsidRDefault="00000000" w:rsidRPr="00000000" w14:paraId="0000003C">
      <w:pPr>
        <w:tabs>
          <w:tab w:val="left" w:leader="none" w:pos="425"/>
        </w:tabs>
        <w:rPr/>
      </w:pPr>
      <w:r w:rsidDel="00000000" w:rsidR="00000000" w:rsidRPr="00000000">
        <w:rPr>
          <w:rtl w:val="0"/>
        </w:rPr>
        <w:tab/>
        <w:t xml:space="preserve">Một hạn chế quan trọng của TPB là biến Nhận thức kiểm soát hành vi (Perceived Behavioral Control – PBC) mang tính khái quát, vừa phản ánh cảm nhận về năng lực cá nhân, vừa bao hàm các yếu tố môi trường bên ngoài (Ajzen, 1991). Khi kết hợp với MOA, khái niệm này được tách bạch rõ ràng hơn thành “Khả năng” (Ability), phản ánh kiến thức, kỹ năng và năng lực tài chính của cá nhân, và “Cơ hội” (Opportunity), phản ánh các điều kiện khách quan như sự sẵn có của sản phẩm, thời gian, nguồn lực và mức độ thuận tiện của môi trường tiêu dùng (Binney et al., 2006, 2007). Sự phân tách này giúp giải thích vì sao một người có ý định cao và tin rằng mình có thể thực hiện hành vi, nhưng vẫn không hành động do thiếu điều kiện khách quan phù hợp.</w:t>
      </w:r>
    </w:p>
    <w:p w:rsidR="00000000" w:rsidDel="00000000" w:rsidP="00000000" w:rsidRDefault="00000000" w:rsidRPr="00000000" w14:paraId="0000003D">
      <w:pPr>
        <w:tabs>
          <w:tab w:val="left" w:leader="none" w:pos="425"/>
        </w:tabs>
        <w:rPr/>
      </w:pPr>
      <w:r w:rsidDel="00000000" w:rsidR="00000000" w:rsidRPr="00000000">
        <w:rPr>
          <w:rtl w:val="0"/>
        </w:rPr>
        <w:tab/>
        <w:t xml:space="preserve">Bên cạnh đó, MOA nhấn mạnh rằng hành vi chỉ có thể xảy ra khi đồng thời hội tụ đủ ba yếu tố: Động lực, Cơ hội và Khả năng; nếu một trong ba yếu tố này ở mức thấp, hành vi sẽ bị kìm hãm bất kể các yếu tố còn lại mạnh đến đâu (Binney et al., 2006, 2007). Cách tiếp cận này đặc biệt phù hợp với bối cảnh tiêu dùng thực phẩm bền vững, nơi hành vi thường chịu ràng buộc bởi các yếu tố thực tiễn như giá cả cao và sự hạn chế trong hệ thống phân phối.</w:t>
      </w:r>
    </w:p>
    <w:p w:rsidR="00000000" w:rsidDel="00000000" w:rsidP="00000000" w:rsidRDefault="00000000" w:rsidRPr="00000000" w14:paraId="0000003E">
      <w:pPr>
        <w:tabs>
          <w:tab w:val="left" w:leader="none" w:pos="425"/>
        </w:tabs>
        <w:rPr/>
      </w:pPr>
      <w:r w:rsidDel="00000000" w:rsidR="00000000" w:rsidRPr="00000000">
        <w:rPr>
          <w:rtl w:val="0"/>
        </w:rPr>
        <w:tab/>
        <w:t xml:space="preserve">Trong nghiên cứu thực phẩm hữu cơ, Kamboj et al. (2025) chỉ ra rằng mặc dù động lực và ý định mua chịu ảnh hưởng mạnh từ thái độ tích cực đối với sức khỏe và môi trường, nhưng chính “Cơ hội” (được đo bằng mức độ sẵn có của sản phẩm) và “Khả năng” (được đo bằng sự sẵn lòng chi trả – Willingness to Pay) mới là các yếu tố quyết định việc ý định có được chuyển hóa thành hành vi mua thực tế hay không. Tương tự, trong bối cảnh tiêu dùng thực phẩm tuần hoàn, Raimondo et al. (2024) cho thấy khung MOA giải thích tốt hơn các hành vi đòi hỏi nỗ lực và kỹ năng, do xem xét đồng thời cả động lực nội tại, điều kiện hạ tầng và năng lực thực hiện hành vi của người tiêu dùng.</w:t>
      </w:r>
    </w:p>
    <w:p w:rsidR="00000000" w:rsidDel="00000000" w:rsidP="00000000" w:rsidRDefault="00000000" w:rsidRPr="00000000" w14:paraId="0000003F">
      <w:pPr>
        <w:tabs>
          <w:tab w:val="left" w:leader="none" w:pos="425"/>
        </w:tabs>
        <w:rPr>
          <w:color w:val="000000"/>
        </w:rPr>
      </w:pPr>
      <w:r w:rsidDel="00000000" w:rsidR="00000000" w:rsidRPr="00000000">
        <w:rPr>
          <w:rtl w:val="0"/>
        </w:rPr>
        <w:t xml:space="preserve">Như vậy, việc kết hợp TPB và MOA không chỉ giúp làm rõ cơ chế hình thành ý định (Ajzen, 1991) mà còn giải thích được khi nào và trong điều kiện nào ý định đó có thể trở thành hành vi thực tế (Sheeran, 2002; Binney et al., 2007; Kamboj et al., 2025)</w:t>
      </w:r>
      <w:r w:rsidDel="00000000" w:rsidR="00000000" w:rsidRPr="00000000">
        <w:rPr>
          <w:color w:val="000000"/>
          <w:rtl w:val="0"/>
        </w:rPr>
        <w:t xml:space="preserve">.</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 w:val="left" w:leader="none" w:pos="2126"/>
          <w:tab w:val="left" w:leader="none" w:pos="4253"/>
          <w:tab w:val="left" w:leader="none" w:pos="8505"/>
        </w:tabs>
        <w:spacing w:after="60" w:before="12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tab/>
        <w:t xml:space="preserve">Đề xuất mô hình</w:t>
      </w:r>
    </w:p>
    <w:p w:rsidR="00000000" w:rsidDel="00000000" w:rsidP="00000000" w:rsidRDefault="00000000" w:rsidRPr="00000000" w14:paraId="00000041">
      <w:pPr>
        <w:keepNext w:val="1"/>
        <w:tabs>
          <w:tab w:val="left" w:leader="none" w:pos="425"/>
          <w:tab w:val="left" w:leader="none" w:pos="720"/>
          <w:tab w:val="left" w:leader="none" w:pos="1440"/>
          <w:tab w:val="left" w:leader="none" w:pos="1560"/>
          <w:tab w:val="left" w:leader="none" w:pos="2126"/>
          <w:tab w:val="left" w:leader="none" w:pos="4253"/>
          <w:tab w:val="left" w:leader="none" w:pos="8505"/>
        </w:tabs>
        <w:spacing w:line="360" w:lineRule="auto"/>
        <w:jc w:val="center"/>
        <w:rPr/>
      </w:pPr>
      <w:r w:rsidDel="00000000" w:rsidR="00000000" w:rsidRPr="00000000">
        <w:rPr>
          <w:b w:val="1"/>
          <w:bCs w:val="1"/>
        </w:rPr>
        <w:drawing>
          <wp:inline distB="0" distT="0" distL="0" distR="0">
            <wp:extent cx="2461638" cy="1859381"/>
            <wp:effectExtent b="0" l="0" r="0" t="0"/>
            <wp:docPr id="157677000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2461638" cy="1859381"/>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tabs>
          <w:tab w:val="left" w:leader="none" w:pos="425"/>
        </w:tabs>
        <w:rPr>
          <w:i w:val="1"/>
          <w:iCs w:val="1"/>
        </w:rPr>
      </w:pPr>
      <w:r w:rsidDel="00000000" w:rsidR="00000000" w:rsidRPr="00000000">
        <w:rPr>
          <w:rtl w:val="0"/>
        </w:rPr>
        <w:t xml:space="preserve">Hình 2. Mô hình đề xuất</w:t>
      </w:r>
      <w:r w:rsidDel="00000000" w:rsidR="00000000" w:rsidRPr="00000000">
        <w:rPr>
          <w:rtl w:val="0"/>
        </w:rPr>
      </w:r>
    </w:p>
    <w:p w:rsidR="00000000" w:rsidDel="00000000" w:rsidP="00000000" w:rsidRDefault="00000000" w:rsidRPr="00000000" w14:paraId="00000043">
      <w:pPr>
        <w:tabs>
          <w:tab w:val="left" w:leader="none" w:pos="425"/>
        </w:tabs>
        <w:rPr>
          <w:i w:val="1"/>
          <w:iCs w:val="1"/>
        </w:rPr>
      </w:pPr>
      <w:r w:rsidDel="00000000" w:rsidR="00000000" w:rsidRPr="00000000">
        <w:rPr>
          <w:i w:val="1"/>
          <w:iCs w:val="1"/>
          <w:rtl w:val="0"/>
        </w:rPr>
        <w:t xml:space="preserve">Nguồn: Nhóm nghiên cứu</w:t>
      </w:r>
    </w:p>
    <w:p w:rsidR="00000000" w:rsidDel="00000000" w:rsidP="00000000" w:rsidRDefault="00000000" w:rsidRPr="00000000" w14:paraId="00000044">
      <w:pPr>
        <w:tabs>
          <w:tab w:val="left" w:leader="none" w:pos="425"/>
        </w:tabs>
        <w:rPr/>
      </w:pPr>
      <w:r w:rsidDel="00000000" w:rsidR="00000000" w:rsidRPr="00000000">
        <w:rPr>
          <w:rtl w:val="0"/>
        </w:rPr>
        <w:tab/>
        <w:t xml:space="preserve">Dựa trên mô hình nghiên cứu đề xuất (Hình 2), hành vi mua thực phẩm bền vững được xem là kết quả của quá trình chuyển hóa từ ý định sang hành động thực tế. Theo (Ajzen, 1991), ý định phản ánh mức độ sẵn sàng hành động của cá nhân và là tiền đề gần nhất của hành vi. Tuy nhiên, Ajzen cũng nhấn mạnh rằng mối quan hệ này chỉ phát huy đầy đủ khi cá nhân thực sự có quyền kiểm soát đối với hành động. Trên cơ sở đó, khung MOA cho rằng hành vi chỉ xuất hiện khi đồng thời tồn tại động cơ, cơ hội và năng lực thực hiện (Jaworski, 1989; Binney et al., 2006). Nếu TPB lý giải vì sao con người hình thành ý định hành động, thì MOA giải thích khi nào hành vi đó có thể được hiện thực hóa trong bối cảnh thực tế. Việc tích hợp hai khung lý thuyết cho phép tiếp cận hành vi tiêu dùng bền vững như một chuỗi logic, trong đó ý định định hướng hành vi, còn động cơ, cơ hội và năng lực quyết định khả năng chuyển hóa ý định thành hành động cụ thể (Ajzen, 1991; Jaworski, 1989; Binney et al., 2006).</w:t>
      </w:r>
    </w:p>
    <w:p w:rsidR="00000000" w:rsidDel="00000000" w:rsidP="00000000" w:rsidRDefault="00000000" w:rsidRPr="00000000" w14:paraId="00000045">
      <w:pPr>
        <w:tabs>
          <w:tab w:val="left" w:leader="none" w:pos="425"/>
        </w:tabs>
        <w:rPr/>
      </w:pPr>
      <w:r w:rsidDel="00000000" w:rsidR="00000000" w:rsidRPr="00000000">
        <w:rPr>
          <w:rtl w:val="0"/>
        </w:rPr>
        <w:tab/>
        <w:t xml:space="preserve">Trước hết, ý định hành vi (Behavioral Intention – BI) phản ánh mức độ sẵn sàng của cá nhân trong việc thực hiện hành vi mua thực phẩm bền vững. Khi ý định càng mạnh, cá nhân càng có xu hướng tìm kiếm cách thức để biến mong muốn thành hành động cụ thể. (Ajzen, 1991) rằng ý định chính là tiền đề trực tiếp của hành vi, đặc biệt trong những hành vi mang tính tự nguyện và có chủ đích. Do đó, nhóm nghiên cứu đề xuất giả thuyết đầu tiên là: </w:t>
      </w:r>
    </w:p>
    <w:p w:rsidR="00000000" w:rsidDel="00000000" w:rsidP="00000000" w:rsidRDefault="00000000" w:rsidRPr="00000000" w14:paraId="00000046">
      <w:pPr>
        <w:tabs>
          <w:tab w:val="left" w:leader="none" w:pos="425"/>
        </w:tabs>
        <w:rPr>
          <w:b w:val="1"/>
          <w:bCs w:val="1"/>
          <w:i w:val="1"/>
          <w:iCs w:val="1"/>
        </w:rPr>
      </w:pPr>
      <w:r w:rsidDel="00000000" w:rsidR="00000000" w:rsidRPr="00000000">
        <w:rPr>
          <w:b w:val="1"/>
          <w:bCs w:val="1"/>
          <w:i w:val="1"/>
          <w:iCs w:val="1"/>
          <w:rtl w:val="0"/>
        </w:rPr>
        <w:tab/>
        <w:t xml:space="preserve">H1. Ý định hành vi (BI) có ảnh hưởng tích cực đến hành vi mua thực tế (AB).</w:t>
      </w:r>
    </w:p>
    <w:p w:rsidR="00000000" w:rsidDel="00000000" w:rsidP="00000000" w:rsidRDefault="00000000" w:rsidRPr="00000000" w14:paraId="00000047">
      <w:pPr>
        <w:tabs>
          <w:tab w:val="left" w:leader="none" w:pos="425"/>
        </w:tabs>
        <w:rPr/>
      </w:pPr>
      <w:r w:rsidDel="00000000" w:rsidR="00000000" w:rsidRPr="00000000">
        <w:rPr>
          <w:rtl w:val="0"/>
        </w:rPr>
        <w:tab/>
        <w:t xml:space="preserve">Tuy nhiên, ý định chỉ cho thấy “hướng đi” của hành vi, còn mức độ bền vững và khả năng vượt qua các rào cản lại phụ thuộc vào động cơ (Motivation – M). Động cơ phản ánh mức độ cam kết nội tại của cá nhân và quyết định việc họ có sẵn sàng duy trì nỗ lực hành động hay không, đặc biệt trong bối cảnh tiêu dùng bền vững thường đi kèm chi phí cao hơn hoặc sự bất tiện. Khi động cơ đủ mạnh, cá nhân có xu hướng kiên trì hiện thực hóa hành vi ngay cả khi gặp trở ngại (Jaworski, 1989). Giả thuyết thứ hai được nhóm tác giả rút ra như sau:</w:t>
      </w:r>
    </w:p>
    <w:p w:rsidR="00000000" w:rsidDel="00000000" w:rsidP="00000000" w:rsidRDefault="00000000" w:rsidRPr="00000000" w14:paraId="00000048">
      <w:pPr>
        <w:tabs>
          <w:tab w:val="left" w:leader="none" w:pos="425"/>
        </w:tabs>
        <w:rPr>
          <w:b w:val="1"/>
          <w:bCs w:val="1"/>
          <w:i w:val="1"/>
          <w:iCs w:val="1"/>
        </w:rPr>
      </w:pPr>
      <w:r w:rsidDel="00000000" w:rsidR="00000000" w:rsidRPr="00000000">
        <w:rPr>
          <w:b w:val="1"/>
          <w:bCs w:val="1"/>
          <w:i w:val="1"/>
          <w:iCs w:val="1"/>
          <w:rtl w:val="0"/>
        </w:rPr>
        <w:tab/>
        <w:t xml:space="preserve">H2. Động cơ (M) có ảnh hưởng tích cực đến hành vi mua thực tế (AB).</w:t>
      </w:r>
    </w:p>
    <w:p w:rsidR="00000000" w:rsidDel="00000000" w:rsidP="00000000" w:rsidRDefault="00000000" w:rsidRPr="00000000" w14:paraId="00000049">
      <w:pPr>
        <w:tabs>
          <w:tab w:val="left" w:leader="none" w:pos="425"/>
        </w:tabs>
        <w:rPr/>
      </w:pPr>
      <w:r w:rsidDel="00000000" w:rsidR="00000000" w:rsidRPr="00000000">
        <w:rPr>
          <w:rtl w:val="0"/>
        </w:rPr>
        <w:tab/>
        <w:t xml:space="preserve">Mặc dù động cơ là điều kiện cần, hành vi vẫn khó xảy ra nếu cá nhân thiếu cơ hội (Opportunity – O). Cơ hội đại diện cho các điều kiện khách quan như sự sẵn có của sản phẩm, khả năng tiếp cận thị trường, mức giá phù hợp và hạ tầng hỗ trợ (Jaworski, 1989). Nếu không tồn tại những điều kiện này, động cơ chỉ dừng lại ở mong muốn mà không thể chuyển hóa thành hành động (Binney et al., 2006). Từ lập luận trên, nhóm tác giả đề xuất giả thuyết như sau:</w:t>
      </w:r>
    </w:p>
    <w:p w:rsidR="00000000" w:rsidDel="00000000" w:rsidP="00000000" w:rsidRDefault="00000000" w:rsidRPr="00000000" w14:paraId="0000004A">
      <w:pPr>
        <w:tabs>
          <w:tab w:val="left" w:leader="none" w:pos="425"/>
        </w:tabs>
        <w:rPr>
          <w:b w:val="1"/>
          <w:bCs w:val="1"/>
          <w:i w:val="1"/>
          <w:iCs w:val="1"/>
        </w:rPr>
      </w:pPr>
      <w:r w:rsidDel="00000000" w:rsidR="00000000" w:rsidRPr="00000000">
        <w:rPr>
          <w:b w:val="1"/>
          <w:bCs w:val="1"/>
          <w:i w:val="1"/>
          <w:iCs w:val="1"/>
          <w:rtl w:val="0"/>
        </w:rPr>
        <w:tab/>
        <w:t xml:space="preserve">H3. Cơ hội (O) có ảnh hưởng tích cực đến hành vi mua thực tế (AB).</w:t>
      </w:r>
    </w:p>
    <w:p w:rsidR="00000000" w:rsidDel="00000000" w:rsidP="00000000" w:rsidRDefault="00000000" w:rsidRPr="00000000" w14:paraId="0000004B">
      <w:pPr>
        <w:tabs>
          <w:tab w:val="left" w:leader="none" w:pos="425"/>
        </w:tabs>
        <w:rPr/>
      </w:pPr>
      <w:r w:rsidDel="00000000" w:rsidR="00000000" w:rsidRPr="00000000">
        <w:rPr>
          <w:rtl w:val="0"/>
        </w:rPr>
        <w:tab/>
        <w:t xml:space="preserve">Cuối cùng, ngay cả khi tồn tại động cơ và cơ hội, hành vi vẫn có thể bị gián đoạn nếu cá nhân không có đủ năng lực (Ability – A). Năng lực phản ánh khả năng nhận diện sản phẩm bền vững, hiểu thông tin nhãn sinh thái và đánh giá độ tin cậy của thông tin (Jaworski, 1989). Thiếu năng lực khiến cá nhân khó đưa ra quyết định chính xác, từ đó làm suy yếu hiệu quả của cả động cơ lẫn cơ hội (Binney et al., 2006; Siemsen et al., 2008). Do đó, có thể nhận định rằng:</w:t>
      </w:r>
    </w:p>
    <w:p w:rsidR="00000000" w:rsidDel="00000000" w:rsidP="00000000" w:rsidRDefault="00000000" w:rsidRPr="00000000" w14:paraId="0000004C">
      <w:pPr>
        <w:tabs>
          <w:tab w:val="left" w:leader="none" w:pos="425"/>
        </w:tabs>
        <w:rPr>
          <w:b w:val="1"/>
          <w:bCs w:val="1"/>
          <w:i w:val="1"/>
          <w:iCs w:val="1"/>
        </w:rPr>
      </w:pPr>
      <w:r w:rsidDel="00000000" w:rsidR="00000000" w:rsidRPr="00000000">
        <w:rPr>
          <w:b w:val="1"/>
          <w:bCs w:val="1"/>
          <w:i w:val="1"/>
          <w:iCs w:val="1"/>
          <w:rtl w:val="0"/>
        </w:rPr>
        <w:tab/>
        <w:t xml:space="preserve">H4. Năng lực (A) có ảnh hưởng tích cực đến hành vi mua thực tế (AB).</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 w:val="left" w:leader="none" w:pos="2126"/>
          <w:tab w:val="left" w:leader="none" w:pos="4253"/>
          <w:tab w:val="left" w:leader="none" w:pos="8505"/>
        </w:tabs>
        <w:spacing w:after="60" w:before="12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tab/>
        <w:t xml:space="preserve">Ứng dụng trong nghiên cứu Hành vi Tiêu dùng thực phẩm bền vững</w:t>
      </w:r>
    </w:p>
    <w:p w:rsidR="00000000" w:rsidDel="00000000" w:rsidP="00000000" w:rsidRDefault="00000000" w:rsidRPr="00000000" w14:paraId="0000004E">
      <w:pPr>
        <w:tabs>
          <w:tab w:val="left" w:leader="none" w:pos="425"/>
        </w:tabs>
        <w:rPr/>
      </w:pPr>
      <w:r w:rsidDel="00000000" w:rsidR="00000000" w:rsidRPr="00000000">
        <w:rPr>
          <w:rtl w:val="0"/>
        </w:rPr>
        <w:t xml:space="preserve">Việc kết hợp Thuyết Hành vi có Kế hoạch (Theory of Planned Behavior – TPB) và khung Động cơ – Cơ hội – Khả năng (Motivation–Opportunity–Ability – MOA) đã được chứng minh là hướng tiếp cận hiệu quả trong nghiên cứu hành vi mua thực phẩm bền vững, đặc biệt đối với thực phẩm hữu cơ và tiêu dùng thực phẩm tuần hoàn. Các mô hình này cho phép lý giải một cách hệ thống khoảng cách phổ biến giữa ý định tích cực và hành vi mua thực tế của người tiêu dùng.</w:t>
      </w:r>
    </w:p>
    <w:p w:rsidR="00000000" w:rsidDel="00000000" w:rsidP="00000000" w:rsidRDefault="00000000" w:rsidRPr="00000000" w14:paraId="0000004F">
      <w:pPr>
        <w:tabs>
          <w:tab w:val="left" w:leader="none" w:pos="425"/>
        </w:tabs>
        <w:rPr/>
      </w:pPr>
      <w:r w:rsidDel="00000000" w:rsidR="00000000" w:rsidRPr="00000000">
        <w:rPr>
          <w:rtl w:val="0"/>
        </w:rPr>
        <w:t xml:space="preserve">Nghiên cứu của Kamboj et al. (2025) về hành vi mua thực phẩm hữu cơ cho thấy TPB giải thích tốt cơ chế hình thành ý định thông qua thái độ đối với sức khỏe và môi trường, nhận thức về lợi ích của thực phẩm hữu cơ và sự tin tưởng vào nhãn mác. Tuy nhiên, các tác giả chỉ ra rằng ý định chỉ có thể chuyển hóa thành hành vi khi người tiêu dùng đồng thời có đủ “Cơ hội” và “Khả năng” theo khung MOA. Cơ hội được đo lường thông qua mức độ sẵn có của sản phẩm trên thị trường, phản ánh khả năng tiếp cận thực tế của người tiêu dùng. Khả năng được thể hiện qua sự sẵn lòng chi trả (Willingness to Pay – WTP), phản ánh năng lực tài chính và mức độ chấp nhận giá cao hơn của thực phẩm hữu cơ. Kết quả thực nghiệm khẳng định rằng hai yếu tố này đóng vai trò quyết định trong việc biến ý định thành hành vi mua, qua đó khắc phục hạn chế của các nghiên cứu chỉ sử dụng TPB khi chưa xem xét đầy đủ các rào cản mang tính thị trường.</w:t>
      </w:r>
    </w:p>
    <w:p w:rsidR="00000000" w:rsidDel="00000000" w:rsidP="00000000" w:rsidRDefault="00000000" w:rsidRPr="00000000" w14:paraId="00000050">
      <w:pPr>
        <w:tabs>
          <w:tab w:val="left" w:leader="none" w:pos="425"/>
        </w:tabs>
        <w:rPr/>
      </w:pPr>
      <w:r w:rsidDel="00000000" w:rsidR="00000000" w:rsidRPr="00000000">
        <w:rPr>
          <w:rtl w:val="0"/>
        </w:rPr>
        <w:t xml:space="preserve">Trong lĩnh vực tiêu dùng thực phẩm tuần hoàn, Raimondo et al. (2024) cũng chứng minh tính ưu việt của khung MOA trong việc giải thích các hành vi như giảm lãng phí thực phẩm, tái sử dụng bao bì và tái chế rác thải thực phẩm. Động lực nội tại gắn với giá trị cá nhân được xem là yếu tố thúc đẩy mạnh nhất, nhưng hành vi chỉ xảy ra khi tồn tại các điều kiện về cơ sở hạ tầng, sự thuận tiện và kiến thức, kỹ năng cần thiết của người tiêu dùng.</w:t>
      </w:r>
    </w:p>
    <w:p w:rsidR="00000000" w:rsidDel="00000000" w:rsidP="00000000" w:rsidRDefault="00000000" w:rsidRPr="00000000" w14:paraId="00000051">
      <w:pPr>
        <w:tabs>
          <w:tab w:val="left" w:leader="none" w:pos="425"/>
        </w:tabs>
        <w:rPr/>
      </w:pPr>
      <w:r w:rsidDel="00000000" w:rsidR="00000000" w:rsidRPr="00000000">
        <w:rPr>
          <w:rtl w:val="0"/>
        </w:rPr>
        <w:t xml:space="preserve">Từ các bằng chứng trên, có thể thấy rằng mô hình tích hợp TPB–MOA tạo ra một khuôn khổ phân tích toàn diện cho nghiên cứu hành vi mua thực phẩm bền vững. TPB chứng minh cho việc người tiêu dùng hình thành ý định mua, và MOA giải thích nguyên nhân ý định đó có hoặc không được hiện thực hóa trong điều kiện thực tế của thị trường.</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 w:val="left" w:leader="none" w:pos="2126"/>
          <w:tab w:val="left" w:leader="none" w:pos="4253"/>
          <w:tab w:val="left" w:leader="none" w:pos="8505"/>
        </w:tabs>
        <w:spacing w:after="60" w:before="12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Thảo luận và kết luận</w:t>
      </w:r>
    </w:p>
    <w:p w:rsidR="00000000" w:rsidDel="00000000" w:rsidP="00000000" w:rsidRDefault="00000000" w:rsidRPr="00000000" w14:paraId="00000053">
      <w:pPr>
        <w:tabs>
          <w:tab w:val="left" w:leader="none" w:pos="425"/>
        </w:tabs>
        <w:rPr/>
      </w:pPr>
      <w:r w:rsidDel="00000000" w:rsidR="00000000" w:rsidRPr="00000000">
        <w:rPr>
          <w:rtl w:val="0"/>
        </w:rPr>
        <w:tab/>
        <w:t xml:space="preserve">Từ các phân tích trên, có thể thấy rằng hành vi tiêu dùng thực phẩm bền vững không phải là hệ quả tất yếu của nhận thức hay thái độ tích cực, mà là kết quả của sự tương tác phức tạp giữa ý định, động cơ và điều kiện thực thi. Như Ajzen (1991) đã chỉ ra, ý định chỉ có thể chuyển hóa thành hành vi khi cá nhân sở hữu "kiểm soát thực tế" (actual control) đối với hành động của mình, tức là có đầy đủ nguồn lực và cơ hội cần thiết.</w:t>
      </w:r>
    </w:p>
    <w:p w:rsidR="00000000" w:rsidDel="00000000" w:rsidP="00000000" w:rsidRDefault="00000000" w:rsidRPr="00000000" w14:paraId="00000054">
      <w:pPr>
        <w:tabs>
          <w:tab w:val="left" w:leader="none" w:pos="425"/>
        </w:tabs>
        <w:rPr/>
      </w:pPr>
      <w:r w:rsidDel="00000000" w:rsidR="00000000" w:rsidRPr="00000000">
        <w:rPr>
          <w:rtl w:val="0"/>
        </w:rPr>
        <w:tab/>
        <w:t xml:space="preserve">Khung lý thuyết MOA tiếp tục làm rõ cơ chế này thông qua mô hình "Yếu tố hạn chế" (Constraining-factor model), khẳng định rằng hành vi chỉ xuất hiện khi hội tụ đủ ba yếu tố: Động lực, Cơ hội và Khả năng; nếu thiếu hụt bất kỳ yếu tố nào, hành vi sẽ bị kìm hãm bất kể động lực mạnh đến đâu (Siemsen et al., 2008; Binney et al., 2006). Đặc biệt trong bối cảnh thực phẩm bền vững, các rào cản về sự sẵn có (Cơ hội) và khả năng chi trả (Khả năng) thường đóng vai trò là những "nút thắt cổ chai" ngăn cản ý định biến thành hành động thực tế (Kamboj et al., 2025; Raimondo et al., 2024).</w:t>
      </w:r>
    </w:p>
    <w:p w:rsidR="00000000" w:rsidDel="00000000" w:rsidP="00000000" w:rsidRDefault="00000000" w:rsidRPr="00000000" w14:paraId="00000055">
      <w:pPr>
        <w:tabs>
          <w:tab w:val="left" w:leader="none" w:pos="425"/>
        </w:tabs>
        <w:rPr/>
      </w:pPr>
      <w:r w:rsidDel="00000000" w:rsidR="00000000" w:rsidRPr="00000000">
        <w:rPr>
          <w:rtl w:val="0"/>
        </w:rPr>
        <w:tab/>
        <w:t xml:space="preserve">Dưới góc nhìn này, tiêu dùng bền vững không phải là lựa chọn “tự nhiên” của những người có ý thức cao, mà là sản phẩm của mối tương tác liên tục giữa cam kết cá nhân và cấu trúc thị trường hỗ trợ. Chính sự bất đối xứng trong mối tương tác đó khiến hành vi bền vững luôn mang tính “chưa hoàn tất”. Điều này mở ra một không gian nghiên cứu quan trọng cho các công trình tiếp theo: thay vì chỉ tập trung khơi gợi nhận thức nhất thời, các doanh nghiệp và nhà hoạch định chính sách cần kiến tạo một hệ sinh thái tiêu dùng nơi các điều kiện về cơ hội và năng lực được đảm bảo để duy trì hành vi bền vững lâu dài.</w:t>
      </w:r>
      <w:r w:rsidDel="00000000" w:rsidR="00000000" w:rsidRPr="00000000">
        <w:br w:type="page"/>
      </w:r>
      <w:r w:rsidDel="00000000" w:rsidR="00000000" w:rsidRPr="00000000">
        <w:rPr>
          <w:rtl w:val="0"/>
        </w:rPr>
      </w:r>
    </w:p>
    <w:p w:rsidR="00000000" w:rsidDel="00000000" w:rsidP="00000000" w:rsidRDefault="00000000" w:rsidRPr="00000000" w14:paraId="00000056">
      <w:pPr>
        <w:tabs>
          <w:tab w:val="left" w:leader="none" w:pos="425"/>
        </w:tabs>
        <w:spacing w:line="360" w:lineRule="auto"/>
        <w:rPr>
          <w:b w:val="1"/>
          <w:bCs w:val="1"/>
        </w:rPr>
      </w:pPr>
      <w:r w:rsidDel="00000000" w:rsidR="00000000" w:rsidRPr="00000000">
        <w:rPr>
          <w:b w:val="1"/>
          <w:bCs w:val="1"/>
          <w:rtl w:val="0"/>
        </w:rPr>
        <w:t xml:space="preserve">TÀI LIỆU THAM KHẢO</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Ajzen, I., (1991), “The theory of planned behavior”,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Organizational Behavior and Human Decision Processes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50, No. 2, pp. 179–211.</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Binney, W., Hall, J., Oppenheim, P., (2006), “The nature and influence of motivation within the MOA framework: implications for social marketing”,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International Journal of Nonprofit and Voluntary Sector Marketing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11, No. 4, pp. 289–301.</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Binney, W., Hall, J., Oppenheim, P., (2007), “The MOA Framework and Behavioural Response”,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ANZMAC 2007: 3Rs – Reputation, Responsibility, Relevance.</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Chuyen, T.T., Van, N.T., Tam, N.T.T., (2025), “The Influence of Green Marketing and Green Attitude on Purchase Intention of Sustainable Fast Food”,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PaperASIA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41, </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Conner, M., Armitage, C.J., (1998), “Extending the Theory of Planned Behavior: A Review and Avenues for Further Research”,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Applied Social Psychology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28, No. 15, pp. 1429–1464.</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Guru, S., Thanki, S., Thakkar, J.J., (2024), “Analysing Factors Driving Purchase and Consumption Behaviour Towards Organic Food”,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Vision: The Journal of Business Perspective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pp. 09722629231225535.</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Han, T.-I., Stoel, L., (2017), “Explaining Socially Responsible Consumer Behavior: A Meta-Analytic Review of Theory of Planned Behavior”,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International Consumer Marketing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29, No. 2, pp. 91–103.</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Hung, N.P., Nguyen, H.M., Thi Tuyet Linh, D., (2025), “How Gen Z Customers Develop Purchase Intention for Eco-Friendly Food and Beverage Products: A Case Study in HO Chi Minh City, Vietnam”,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Promotion Management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31, No. 6, pp. 1020–1033.</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Jaworski, B., (1989), “Information Processing From Advertisements: Toward an Integrative Framework”,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Marketing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53, pp. 1–23.</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Kamboj, S., Arora, M., Thakur, V., (2025), “Examining the nexus between consumers’ intention and buying behaviour towards organic food: role of motivation opportunity ability theory”,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British Food Journal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127, No. 12, pp. 4626–4652.</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Kim, H., Hur, D., Schoenherr, T., (2015), “When Buyer‐Driven Knowledge Transfer Activities Really Work: A Motivation–Opportunity–Ability Perspective”,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Supply Chain Management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51, No. 3, pp. 33–60.</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Nichifor, B., Zait, L., Timiras, L., (2025), “Drivers, Barriers, and Innovations in Sustainable Food Consumption: A Systematic Literature Review”,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Sustainability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17, No. 5, pp. 2233.</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Ou-Yang, H.-Y., Ariphongphokin, R., Trung, N.H., (1995), “Adopting the Motivation-Opportunity-Ability model to Evaluate the Intentions of Thai Students to Study Abroad”.</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Raimondo, M., Spina, D., Hamam, M., D’Amico, M., Caracciolo, F., (2024), “Intrinsic motivation strongly affects the readiness toward circular food consumption: evidence from the motivation–opportunity–ability model”,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British Food Journal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126, No. 2, pp. 715–737.</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Sheeran, P., (2002), “Intention—Behavior Relations: A Conceptual and Empirical Review”,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European Review of Social Psychology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12, No. 1, pp. 1–36.</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Siemsen, E., Roth, A.V., Balasubramanian, S., (2008), “How motivation, opportunity, and ability drive knowledge sharing: The constraining‐factor model”,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Operations Management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26, No. 3, pp. 426–445.</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794" w:right="0" w:hanging="437"/>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Sniehotta, F., (2009), “An Experimental Test of the Theory of Planned Behavior”,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Applied Psychology: Health and Well-Being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Vol. 1, No. 2, pp. 257–270.</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5"/>
          <w:tab w:val="left" w:leader="none" w:pos="720"/>
          <w:tab w:val="left" w:leader="none" w:pos="1440"/>
          <w:tab w:val="left" w:leader="none" w:pos="1560"/>
          <w:tab w:val="left" w:leader="none" w:pos="2126"/>
          <w:tab w:val="left" w:leader="none" w:pos="4253"/>
          <w:tab w:val="left" w:leader="none" w:pos="8505"/>
        </w:tabs>
        <w:spacing w:after="60" w:before="60" w:line="276"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sectPr>
      <w:foot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0" w:line="240" w:lineRule="auto"/>
      <w:ind w:left="0" w:right="0"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FTU Working Paper Series, Vol.</w:t>
    </w:r>
    <w:r w:rsidDel="00000000" w:rsidR="00000000" w:rsidRPr="00000000">
      <w:rPr>
        <w:b w:val="1"/>
        <w:bCs w:val="1"/>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No.</w:t>
    </w:r>
    <w:r w:rsidDel="00000000" w:rsidR="00000000" w:rsidRPr="00000000">
      <w:rPr>
        <w:b w:val="1"/>
        <w:bCs w:val="1"/>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(01/2025)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69">
      <w:pPr>
        <w:tabs>
          <w:tab w:val="left" w:leader="none" w:pos="425"/>
        </w:tabs>
        <w:spacing w:before="20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Tác giả liên hệ, Email: k63.2412255033@ftu.edu.vn</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94" w:hanging="437"/>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vi"/>
      </w:rPr>
    </w:rPrDefault>
    <w:pPrDefault>
      <w:pPr>
        <w:tabs>
          <w:tab w:val="left" w:leader="none" w:pos="425"/>
        </w:tabs>
        <w:spacing w:after="120" w:line="288"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00" w:lineRule="auto"/>
    </w:pPr>
    <w:rPr>
      <w:sz w:val="40"/>
      <w:szCs w:val="40"/>
    </w:rPr>
  </w:style>
  <w:style w:type="paragraph" w:styleId="Heading2">
    <w:name w:val="heading 2"/>
    <w:basedOn w:val="Normal"/>
    <w:next w:val="Normal"/>
    <w:pPr>
      <w:keepNext w:val="1"/>
      <w:keepLines w:val="1"/>
      <w:spacing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3D3B15"/>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3D3B15"/>
    <w:pPr>
      <w:ind w:left="720"/>
      <w:contextualSpacing w:val="1"/>
    </w:pPr>
  </w:style>
  <w:style w:type="paragraph" w:styleId="Header">
    <w:name w:val="header"/>
    <w:basedOn w:val="Normal"/>
    <w:link w:val="HeaderChar"/>
    <w:uiPriority w:val="99"/>
    <w:unhideWhenUsed w:val="1"/>
    <w:rsid w:val="00C76B77"/>
    <w:pPr>
      <w:tabs>
        <w:tab w:val="center" w:pos="4680"/>
        <w:tab w:val="right" w:pos="9360"/>
      </w:tabs>
      <w:spacing w:line="240" w:lineRule="auto"/>
    </w:pPr>
  </w:style>
  <w:style w:type="character" w:styleId="HeaderChar" w:customStyle="1">
    <w:name w:val="Header Char"/>
    <w:basedOn w:val="DefaultParagraphFont"/>
    <w:link w:val="Header"/>
    <w:uiPriority w:val="99"/>
    <w:rsid w:val="00C76B77"/>
  </w:style>
  <w:style w:type="paragraph" w:styleId="Footer">
    <w:name w:val="footer"/>
    <w:basedOn w:val="Normal"/>
    <w:link w:val="FooterChar"/>
    <w:uiPriority w:val="99"/>
    <w:unhideWhenUsed w:val="1"/>
    <w:rsid w:val="00C76B77"/>
    <w:pPr>
      <w:tabs>
        <w:tab w:val="center" w:pos="4680"/>
        <w:tab w:val="right" w:pos="9360"/>
      </w:tabs>
      <w:spacing w:line="240" w:lineRule="auto"/>
    </w:pPr>
  </w:style>
  <w:style w:type="character" w:styleId="FooterChar" w:customStyle="1">
    <w:name w:val="Footer Char"/>
    <w:basedOn w:val="DefaultParagraphFont"/>
    <w:link w:val="Footer"/>
    <w:uiPriority w:val="99"/>
    <w:rsid w:val="00C76B77"/>
  </w:style>
  <w:style w:type="paragraph" w:styleId="Caption">
    <w:name w:val="caption"/>
    <w:basedOn w:val="Normal"/>
    <w:next w:val="Normal"/>
    <w:uiPriority w:val="35"/>
    <w:unhideWhenUsed w:val="1"/>
    <w:qFormat w:val="1"/>
    <w:rsid w:val="006F767B"/>
    <w:pPr>
      <w:spacing w:after="200" w:line="240" w:lineRule="auto"/>
    </w:pPr>
    <w:rPr>
      <w:rFonts w:asciiTheme="minorHAnsi" w:cstheme="minorBidi" w:eastAsiaTheme="minorHAnsi" w:hAnsiTheme="minorHAnsi"/>
      <w:i w:val="1"/>
      <w:iCs w:val="1"/>
      <w:color w:val="1f497d" w:themeColor="text2"/>
      <w:kern w:val="2"/>
      <w:sz w:val="18"/>
      <w:szCs w:val="18"/>
      <w:lang w:eastAsia="en-US" w:val="en-US"/>
    </w:rPr>
  </w:style>
  <w:style w:type="paragraph" w:styleId="mcCp1" w:customStyle="1">
    <w:name w:val="@ Đề mục (Cấp 1)"/>
    <w:basedOn w:val="Normal"/>
    <w:next w:val="Normal"/>
    <w:qFormat w:val="1"/>
    <w:rsid w:val="006F767B"/>
    <w:pPr>
      <w:widowControl w:val="0"/>
      <w:tabs>
        <w:tab w:val="left" w:pos="720"/>
        <w:tab w:val="left" w:pos="1440"/>
        <w:tab w:val="left" w:pos="2160"/>
        <w:tab w:val="center" w:pos="4253"/>
        <w:tab w:val="right" w:pos="8505"/>
      </w:tabs>
      <w:spacing w:after="60" w:before="120"/>
      <w:outlineLvl w:val="0"/>
    </w:pPr>
    <w:rPr>
      <w:rFonts w:cs="Times New Roman" w:eastAsia="Times New Roman"/>
      <w:b w:val="1"/>
      <w:szCs w:val="28"/>
      <w:lang w:eastAsia="en-US" w:val="en-US"/>
    </w:rPr>
  </w:style>
  <w:style w:type="paragraph" w:styleId="Bibliography">
    <w:name w:val="Bibliography"/>
    <w:basedOn w:val="Normal"/>
    <w:next w:val="Normal"/>
    <w:uiPriority w:val="37"/>
    <w:unhideWhenUsed w:val="1"/>
    <w:rsid w:val="000140AD"/>
    <w:pPr>
      <w:tabs>
        <w:tab w:val="clear" w:pos="425"/>
      </w:tabs>
      <w:spacing w:after="60" w:before="60" w:line="276" w:lineRule="auto"/>
      <w:ind w:firstLine="567"/>
    </w:pPr>
    <w:rPr>
      <w:rFonts w:cs="Times New Roman" w:eastAsia="Times New Roman"/>
      <w:sz w:val="22"/>
      <w:lang w:eastAsia="en-US" w:val="en-US"/>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image" Target="media/image3.png"/><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cikRNq5/s1ndd9RjhsqDZv8eWQ==">CgMxLjAyDmguazNhYWJuNWptZW5sMg5oLnBoYjk0bjEwN2o1YTgAciExbXctWDJweElIdG5MRnVCRHZKSXVKdVJ2TzkyS1A5Tkg=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2025-01-02T06:10:00Z</dcterms:created>
</cp:coreProperties>
</file>