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pPr w:leftFromText="180" w:rightFromText="180" w:topFromText="0" w:bottomFromText="160" w:vertAnchor="text" w:horzAnchor="text" w:tblpX="0" w:tblpY="182"/>
        <w:tblW w:w="9356.0" w:type="dxa"/>
        <w:jc w:val="left"/>
        <w:tblBorders>
          <w:top w:color="000000" w:space="0" w:sz="4" w:val="single"/>
          <w:bottom w:color="000000" w:space="0" w:sz="4" w:val="single"/>
        </w:tblBorders>
        <w:tblLayout w:type="fixed"/>
        <w:tblLook w:val="0400"/>
      </w:tblPr>
      <w:tblGrid>
        <w:gridCol w:w="2141"/>
        <w:gridCol w:w="7215"/>
        <w:tblGridChange w:id="0">
          <w:tblGrid>
            <w:gridCol w:w="2141"/>
            <w:gridCol w:w="7215"/>
          </w:tblGrid>
        </w:tblGridChange>
      </w:tblGrid>
      <w:tr>
        <w:trPr>
          <w:cantSplit w:val="0"/>
          <w:trHeight w:val="510" w:hRule="atLeast"/>
          <w:tblHeader w:val="0"/>
        </w:trPr>
        <w:tc>
          <w:tcPr>
            <w:vMerge w:val="restart"/>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2">
            <w:pPr>
              <w:spacing w:after="160" w:line="259" w:lineRule="auto"/>
              <w:rPr>
                <w:rFonts w:ascii="Times New Roman" w:cs="Times New Roman" w:eastAsia="Times New Roman" w:hAnsi="Times New Roman"/>
                <w:b w:val="1"/>
                <w:bCs w:val="1"/>
                <w:sz w:val="24"/>
                <w:szCs w:val="24"/>
              </w:rPr>
            </w:pPr>
            <w:bookmarkStart w:colFirst="0" w:colLast="0" w:name="_heading=h.1g2y2j8bs7im" w:id="0"/>
            <w:bookmarkEnd w:id="0"/>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1209675" cy="17145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09675" cy="1714500"/>
                          </a:xfrm>
                          <a:prstGeom prst="rect"/>
                          <a:ln/>
                        </pic:spPr>
                      </pic:pic>
                    </a:graphicData>
                  </a:graphic>
                </wp:inline>
              </w:drawing>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3">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d9d9d9" w:val="clear"/>
          </w:tcPr>
          <w:p w:rsidR="00000000" w:rsidDel="00000000" w:rsidP="00000000" w:rsidRDefault="00000000" w:rsidRPr="00000000" w14:paraId="00000005">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spacing w:after="160" w:line="259"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Working Paper 2026.2.3.12</w:t>
            </w:r>
            <w:r w:rsidDel="00000000" w:rsidR="00000000" w:rsidRPr="00000000">
              <w:rPr>
                <w:rtl w:val="0"/>
              </w:rPr>
            </w:r>
          </w:p>
          <w:p w:rsidR="00000000" w:rsidDel="00000000" w:rsidP="00000000" w:rsidRDefault="00000000" w:rsidRPr="00000000" w14:paraId="00000007">
            <w:pPr>
              <w:spacing w:after="160" w:line="259"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Vol.2 , No.3 </w:t>
            </w:r>
          </w:p>
          <w:p w:rsidR="00000000" w:rsidDel="00000000" w:rsidP="00000000" w:rsidRDefault="00000000" w:rsidRPr="00000000" w14:paraId="00000008">
            <w:pPr>
              <w:spacing w:after="160" w:line="259" w:lineRule="auto"/>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04" w:hRule="atLeast"/>
          <w:tblHeader w:val="0"/>
        </w:trPr>
        <w:tc>
          <w:tcPr>
            <w:vMerge w:val="continue"/>
            <w:tcBorders>
              <w:top w:color="000000" w:space="0" w:sz="4" w:val="single"/>
              <w:left w:color="000000" w:space="0" w:sz="0" w:val="nil"/>
              <w:bottom w:color="000000" w:space="0" w:sz="4" w:val="single"/>
              <w:right w:color="000000" w:space="0" w:sz="0" w:val="nil"/>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0A">
            <w:pPr>
              <w:spacing w:after="160" w:line="259" w:lineRule="auto"/>
              <w:rPr>
                <w:rFonts w:ascii="Times New Roman" w:cs="Times New Roman" w:eastAsia="Times New Roman" w:hAnsi="Times New Roman"/>
                <w:b w:val="1"/>
                <w:bCs w:val="1"/>
                <w:sz w:val="24"/>
                <w:szCs w:val="24"/>
              </w:rPr>
            </w:pPr>
            <w:r w:rsidDel="00000000" w:rsidR="00000000" w:rsidRPr="00000000">
              <w:rPr>
                <w:rtl w:val="0"/>
              </w:rPr>
            </w:r>
          </w:p>
        </w:tc>
      </w:tr>
    </w:tbl>
    <w:p w:rsidR="00000000" w:rsidDel="00000000" w:rsidP="00000000" w:rsidRDefault="00000000" w:rsidRPr="00000000" w14:paraId="0000000B">
      <w:pPr>
        <w:spacing w:after="16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ẢNH HƯỞNG CỦA VIỆC SỬ DỤNG CHUNG KIỂM TOÁN VIÊN ĐẾN KHẢ NĂNG SO SÁNH THÔNG TIN KẾ TOÁN: BẰNG CHỨNG THỰC NGHIỆM TẠI VIỆT NAM</w:t>
      </w:r>
    </w:p>
    <w:p w:rsidR="00000000" w:rsidDel="00000000" w:rsidP="00000000" w:rsidRDefault="00000000" w:rsidRPr="00000000" w14:paraId="0000000C">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Lê Phương Thùy</w:t>
      </w:r>
      <w:r w:rsidDel="00000000" w:rsidR="00000000" w:rsidRPr="00000000">
        <w:rPr>
          <w:rFonts w:ascii="Times New Roman" w:cs="Times New Roman" w:eastAsia="Times New Roman" w:hAnsi="Times New Roman"/>
          <w:b w:val="1"/>
          <w:bCs w:val="1"/>
          <w:sz w:val="24"/>
          <w:szCs w:val="24"/>
          <w:vertAlign w:val="superscript"/>
        </w:rPr>
        <w:footnoteReference w:customMarkFollows="0" w:id="0"/>
      </w:r>
      <w:r w:rsidDel="00000000" w:rsidR="00000000" w:rsidRPr="00000000">
        <w:rPr>
          <w:rFonts w:ascii="Times New Roman" w:cs="Times New Roman" w:eastAsia="Times New Roman" w:hAnsi="Times New Roman"/>
          <w:b w:val="1"/>
          <w:bCs w:val="1"/>
          <w:sz w:val="24"/>
          <w:szCs w:val="24"/>
          <w:rtl w:val="0"/>
        </w:rPr>
        <w:t xml:space="preserve">, Lê Hoàng Phụng Tiên, Phan Thị Hồng Ngân, </w:t>
      </w:r>
    </w:p>
    <w:p w:rsidR="00000000" w:rsidDel="00000000" w:rsidP="00000000" w:rsidRDefault="00000000" w:rsidRPr="00000000" w14:paraId="0000000D">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Thị Ngọc Linh </w:t>
      </w:r>
    </w:p>
    <w:p w:rsidR="00000000" w:rsidDel="00000000" w:rsidP="00000000" w:rsidRDefault="00000000" w:rsidRPr="00000000" w14:paraId="0000000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viên K62C Kế toán - Kiểm toán – Khoa Quản trị Kinh doanh và Tài chính Kế toán</w:t>
      </w:r>
    </w:p>
    <w:p w:rsidR="00000000" w:rsidDel="00000000" w:rsidP="00000000" w:rsidRDefault="00000000" w:rsidRPr="00000000" w14:paraId="0000000F">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Đại học Ngoại thương Phân hiệu tại TP. Hồ Chí Minh, Việt Nam</w:t>
      </w:r>
    </w:p>
    <w:p w:rsidR="00000000" w:rsidDel="00000000" w:rsidP="00000000" w:rsidRDefault="00000000" w:rsidRPr="00000000" w14:paraId="00000010">
      <w:pPr>
        <w:spacing w:line="36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Nguyễn Ngọc Thụy Vy</w:t>
      </w:r>
    </w:p>
    <w:p w:rsidR="00000000" w:rsidDel="00000000" w:rsidP="00000000" w:rsidRDefault="00000000" w:rsidRPr="00000000" w14:paraId="00000012">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Giảng viên Khoa Quản trị Kinh doanh và Tài chính Kế toán</w:t>
      </w:r>
    </w:p>
    <w:p w:rsidR="00000000" w:rsidDel="00000000" w:rsidP="00000000" w:rsidRDefault="00000000" w:rsidRPr="00000000" w14:paraId="00000013">
      <w:pPr>
        <w:spacing w:line="36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Trường Đại học Ngoại thương Phân hiệu tại TP. Hồ Chí Minh, Việt Nam</w:t>
      </w:r>
    </w:p>
    <w:p w:rsidR="00000000" w:rsidDel="00000000" w:rsidP="00000000" w:rsidRDefault="00000000" w:rsidRPr="00000000" w14:paraId="00000014">
      <w:pPr>
        <w:pBdr>
          <w:top w:color="000000" w:space="1" w:sz="4" w:val="single"/>
        </w:pBdr>
        <w:spacing w:after="160" w:line="36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Tóm tắt</w:t>
      </w:r>
    </w:p>
    <w:p w:rsidR="00000000" w:rsidDel="00000000" w:rsidP="00000000" w:rsidRDefault="00000000" w:rsidRPr="00000000" w14:paraId="00000015">
      <w:pPr>
        <w:pBdr>
          <w:top w:color="000000" w:space="1" w:sz="4" w:val="single"/>
        </w:pBd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Nghiên cứu này xem xét tác động của việc sử dụng chung kiểm toán viên đến khả năng so sánh thông tin kế toán tại Việt Nam. Động cơ nghiên cứu xuất phát từ các bằng chứng chưa nhất quán trong tài liệu hiện hữu về vai trò của kiểm toán viên dùng chung đối với khả năng so sánh kế toán, cũng như sự thiếu hụt các nghiên cứu trong bối cảnh thị trường mới nổi, nơi các kết quả báo cáo tài chính phụ thuộc nhiều vào xét đoán nghề nghiệp. Việt Nam là bối cảnh nghiên cứu phù hợp nhờ hệ thống kế toán mang tính tuân thủ quy tắc, chất lượng thể chế đang hoàn thiện và lộ trình chuyển đổi sang Chuẩn mực Báo cáo Tài chính Quốc tế. Phân tích thực nghiệm được thực hiện theo thiết kế nghiên cứu cặp doanh nghiệp, với mẫu gồm các doanh nghiệp phi tài chính niêm yết trên Sở Giao dịch Chứng khoán Thành phố Hồ Chí Minh và Sở Giao dịch Chứng khoán Hà Nội trong giai đoạn 2010 - 2024. Khả năng so sánh thông tin kế toán được đo lường dựa trên mức độ tương đồng trong mối quan hệ giữa lợi nhuận kế toán và tỷ suất sinh lợi cổ phiếu, trong khi việc sử dụng chung kiểm toán viên được xác định ở cả cấp độ công ty kiểm toán và kiểm toán viên ký báo cáo. Các mô hình hồi quy với hiệu ứng cố định đa chiều được sử dụng để kiểm soát dị biệt không quan sát được giữa các cặp doanh nghiệp và theo thời gian. Kết quả cho thấy các cặp doanh nghiệp được kiểm toán bởi cùng một công ty kiểm toán có mức độ so sánh thông tin kế toán cao hơn một cách có ý nghĩa thống kê, trong khi việc sử dụng chung cùng một kiểm toán viên ký báo cáo không tạo ra tác động có ý nghĩa. Kết quả bất đối xứng này hàm ý rằng các cơ chế tiêu chuẩn hóa ở cấp độ công ty kiểm toán đóng vai trò quan trọng hơn so với sự tham gia của từng kiểm toán viên riêng lẻ trong việc định hình khả năng so sánh thông tin báo cáo tài chính tại Việt Nam.</w:t>
      </w:r>
    </w:p>
    <w:p w:rsidR="00000000" w:rsidDel="00000000" w:rsidP="00000000" w:rsidRDefault="00000000" w:rsidRPr="00000000" w14:paraId="00000016">
      <w:pP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Từ khoá</w:t>
      </w:r>
      <w:r w:rsidDel="00000000" w:rsidR="00000000" w:rsidRPr="00000000">
        <w:rPr>
          <w:rFonts w:ascii="Times New Roman" w:cs="Times New Roman" w:eastAsia="Times New Roman" w:hAnsi="Times New Roman"/>
          <w:sz w:val="24"/>
          <w:szCs w:val="24"/>
          <w:rtl w:val="0"/>
        </w:rPr>
        <w:t xml:space="preserve">: Khả năng so sánh kế toán; Kiểm toán viên dùng chung; Ảnh hưởng của công ty kiểm toán; Thị trường mới nổi; Việt Nam</w:t>
      </w:r>
      <w:r w:rsidDel="00000000" w:rsidR="00000000" w:rsidRPr="00000000">
        <w:rPr>
          <w:rtl w:val="0"/>
        </w:rPr>
      </w:r>
    </w:p>
    <w:p w:rsidR="00000000" w:rsidDel="00000000" w:rsidP="00000000" w:rsidRDefault="00000000" w:rsidRPr="00000000" w14:paraId="00000017">
      <w:pPr>
        <w:spacing w:after="160" w:line="360" w:lineRule="auto"/>
        <w:ind w:right="48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160" w:line="360" w:lineRule="auto"/>
        <w:ind w:right="48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THE IMPACT OF SHARED AUDITORS ON ACCOUNTING COMPARABILITY: EVIDENCE FROM VIETNAM</w:t>
      </w:r>
      <w:r w:rsidDel="00000000" w:rsidR="00000000" w:rsidRPr="00000000">
        <w:rPr>
          <w:rtl w:val="0"/>
        </w:rPr>
      </w:r>
    </w:p>
    <w:p w:rsidR="00000000" w:rsidDel="00000000" w:rsidP="00000000" w:rsidRDefault="00000000" w:rsidRPr="00000000" w14:paraId="00000019">
      <w:pPr>
        <w:spacing w:after="160" w:line="360" w:lineRule="auto"/>
        <w:ind w:right="48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p>
    <w:p w:rsidR="00000000" w:rsidDel="00000000" w:rsidP="00000000" w:rsidRDefault="00000000" w:rsidRPr="00000000" w14:paraId="0000001A">
      <w:pPr>
        <w:spacing w:after="160" w:line="360" w:lineRule="auto"/>
        <w:ind w:right="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effect of shared auditors on accounting comparability in Vietnam. The motivation for this research stems from mixed evidence in the existing literature regarding whether shared auditors consistently enhance accounting comparability, as well as the limited understanding of this relationship in emerging markets where financial reporting outcomes rely heavily on auditor judgment. Vietnam provides a particularly relevant setting due to its predominantly rule-based accounting system, evolving institutional quality, and ongoing transition toward International Financial Reporting Standards. The empirical analysis is conducted using a firm-pair research design and a sample of non-financial firms listed on the Ho Chi Minh City Stock Exchange and the Hanoi Stock Exchange over the period 2010 - 2024. Accounting comparability is measured based on the similarity of firms’ earnings - return relations following the accounting-function approach, while shared auditors are identified at both the audit firm level and the signing audit partner level. High-dimensional fixed effects regressions are employed to control for unobserved heterogeneity across firm pairs and over time. The results indicate that firm pairs audited by the same audit firm exhibit significantly higher accounting comparability, whereas sharing the same signing audit partner does not have a statistically significant effect. This asymmetric finding suggests that audit firm - level standardization, rather than individual auditor involvement, plays a more important role in shaping comparable financial reporting outcomes in the Vietnamese context. </w:t>
      </w:r>
    </w:p>
    <w:p w:rsidR="00000000" w:rsidDel="00000000" w:rsidP="00000000" w:rsidRDefault="00000000" w:rsidRPr="00000000" w14:paraId="0000001B">
      <w:pPr>
        <w:pBdr>
          <w:bottom w:color="000000" w:space="1" w:sz="4" w:val="single"/>
        </w:pBdr>
        <w:spacing w:after="160" w:line="360" w:lineRule="auto"/>
        <w:ind w:right="48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Accounting comparability; Shared auditors; Audit firm effect; Emerging markets; Vietnam </w:t>
      </w:r>
      <w:r w:rsidDel="00000000" w:rsidR="00000000" w:rsidRPr="00000000">
        <w:rPr>
          <w:rtl w:val="0"/>
        </w:rPr>
      </w:r>
    </w:p>
    <w:p w:rsidR="00000000" w:rsidDel="00000000" w:rsidP="00000000" w:rsidRDefault="00000000" w:rsidRPr="00000000" w14:paraId="0000001C">
      <w:pPr>
        <w:pStyle w:val="Heading1"/>
        <w:tabs>
          <w:tab w:val="left" w:leader="none" w:pos="709"/>
        </w:tabs>
        <w:rPr/>
      </w:pPr>
      <w:r w:rsidDel="00000000" w:rsidR="00000000" w:rsidRPr="00000000">
        <w:rPr>
          <w:rtl w:val="0"/>
        </w:rPr>
        <w:t xml:space="preserve">1. Introduction</w:t>
      </w:r>
    </w:p>
    <w:p w:rsidR="00000000" w:rsidDel="00000000" w:rsidP="00000000" w:rsidRDefault="00000000" w:rsidRPr="00000000" w14:paraId="0000001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Accounting comparability is widely recognized as an important qualitative characteristic of financial information, as it enhances the usefulness of financial statements by enabling users to identify and assess similarities and differences in firms’ underlying economic performance (De Franco et al., 2011). Comparability is classified as an enhancing qualitative characteristic that supports informed economic decision-making by facilitating meaningful cross-firm evaluations (IASB, 2018). Empirical evidence further suggests that higher accounting comparability is associated with reduced information asymmetry, improved analysts’ forecast accuracy, and greater efficiency in capital markets (De Franco et al., 2011; Kim et al., 2013).</w:t>
      </w:r>
    </w:p>
    <w:p w:rsidR="00000000" w:rsidDel="00000000" w:rsidP="00000000" w:rsidRDefault="00000000" w:rsidRPr="00000000" w14:paraId="0000001E">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the financial reporting process, auditors play a pivotal role through their involvement in the interpretation of accounting standards, the exercise of professional judgment, and the mitigation of managerial discretion (DeFond &amp; Zhang, 2014). Beyond enhancing the credibility of financial statements, auditors may influence reported accounting outcomes by shaping how accounting policies and reporting practices are applied in practice (DeFond &amp; Zhang, 2014; Francis, 2004). When firms engage the same audit firm, similarities in internal working rules, audit methodologies, and risk preferences may facilitate the diffusion of consistent accounting practices across audit clients (Francis et al., 2014).</w:t>
      </w:r>
    </w:p>
    <w:p w:rsidR="00000000" w:rsidDel="00000000" w:rsidP="00000000" w:rsidRDefault="00000000" w:rsidRPr="00000000" w14:paraId="0000001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Building on the accounting-system-based framework proposed by De Franco et al. (2011), the relationship between shared auditors and accounting comparability can be understood through the role of auditors in shaping the mapping from economic events to reported accounting outcomes. One line of argument suggests that firms audited by the same audit firm are more likely to apply similar accounting judgments to comparable transactions and events, resulting in higher accounting comparability due to standardized audit practices and shared professional norms (Francis et al., 2014). Evidence from developed markets is generally consistent with this view, showing that firm pairs sharing the same auditor tend to exhibit higher financial statement comparability.</w:t>
      </w:r>
    </w:p>
    <w:p w:rsidR="00000000" w:rsidDel="00000000" w:rsidP="00000000" w:rsidRDefault="00000000" w:rsidRPr="00000000" w14:paraId="0000002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an alternative perspective highlights that shared auditors do not necessarily lead to more comparable accounting outcomes. Because auditors are not the direct preparers of financial statements, their influence on reported accounting outcomes depends critically on how consistently professional judgment is exercised across engagements (DeFond &amp; Zhang, 2014). While audit firms typically promote standardized methodologies and internal working rules, individual auditors may still exercise discretion in the interpretation and enforcement of accounting standards, thereby introducing variation in accounting judgments across clients (Francis et al., 2014). Recent empirical evidence indicates that such auditor-level discretion may weaken accounting comparability when auditors deviate from firm-wide practices and rely on idiosyncratic judgment styles. Auditors with stronger individualistic tendencies are associated with lower earnings comparability, even among firms audited within the same audit firm (Kim et al., 2025). Related evidence further suggests that partner-specific characteristics condition the extent to which shared auditors enhance comparability. Accounting comparability is higher when audit engagements are led by industry expert partners, implying that shared auditors contribute to comparability only when auditor-level expertise and judgment are applied in a sufficiently consistent manner across client firms (Ahn &amp; Sonu, 2021).</w:t>
      </w:r>
    </w:p>
    <w:p w:rsidR="00000000" w:rsidDel="00000000" w:rsidP="00000000" w:rsidRDefault="00000000" w:rsidRPr="00000000" w14:paraId="0000002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Vietnam provides a particularly suitable setting in which to examine these competing mechanisms. As an emerging market, Vietnam is characterized by relatively high information asymmetry, a developing institutional environment, and an accounting system that emphasizes formal compliance with detailed rules rather than principles-based judgment (PwC Vietnam, 2021). In such a context, firms that formally adopt the same accounting standards may nonetheless produce heterogeneous accounting outcomes due to differences in interpretation, enforcement intensity, and institutional incentives (Soderstrom &amp; Sun, 2007). Moreover, Vietnam’s ongoing roadmap toward the adoption of International Financial Reporting Standards has increased reliance on professional judgment in areas such as valuation and accounting estimates, thereby amplifying the role of auditors in shaping financial reporting outcomes (Nguyen et al., 2023).</w:t>
      </w:r>
    </w:p>
    <w:p w:rsidR="00000000" w:rsidDel="00000000" w:rsidP="00000000" w:rsidRDefault="00000000" w:rsidRPr="00000000" w14:paraId="00000022">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Accordingly, examining the impact of shared auditors on accounting comparability in the Vietnamese context is warranted from both academic and practical perspectives. While existing evidence on this relationship is largely derived from developed markets, limited understanding remains regarding how shared auditors influence accounting comparability in emerging markets characterized by rule-based accounting regimes and heterogeneous enforcement. This study seeks to address this gap by providing empirical evidence on whether, and under what conditions, shared auditors shape accounting comparability in Vietnam, thereby contributing to the auditing and financial reporting literature.</w:t>
      </w:r>
    </w:p>
    <w:p w:rsidR="00000000" w:rsidDel="00000000" w:rsidP="00000000" w:rsidRDefault="00000000" w:rsidRPr="00000000" w14:paraId="00000023">
      <w:pPr>
        <w:keepNext w:val="1"/>
        <w:keepLines w:val="1"/>
        <w:tabs>
          <w:tab w:val="left" w:leader="none" w:pos="709"/>
        </w:tabs>
        <w:spacing w:after="120" w:line="288" w:lineRule="auto"/>
        <w:jc w:val="both"/>
        <w:rPr>
          <w:rFonts w:ascii="Times New Roman" w:cs="Times New Roman" w:eastAsia="Times New Roman" w:hAnsi="Times New Roman"/>
          <w:b w:val="1"/>
          <w:bCs w:val="1"/>
          <w:sz w:val="24"/>
          <w:szCs w:val="24"/>
        </w:rPr>
      </w:pPr>
      <w:bookmarkStart w:colFirst="0" w:colLast="0" w:name="_heading=h.84h64qki43yw" w:id="1"/>
      <w:bookmarkEnd w:id="1"/>
      <w:r w:rsidDel="00000000" w:rsidR="00000000" w:rsidRPr="00000000">
        <w:rPr>
          <w:rFonts w:ascii="Times New Roman" w:cs="Times New Roman" w:eastAsia="Times New Roman" w:hAnsi="Times New Roman"/>
          <w:b w:val="1"/>
          <w:bCs w:val="1"/>
          <w:sz w:val="24"/>
          <w:szCs w:val="24"/>
          <w:rtl w:val="0"/>
        </w:rPr>
        <w:t xml:space="preserve">2. Literature review and hypothesis development</w:t>
      </w:r>
    </w:p>
    <w:p w:rsidR="00000000" w:rsidDel="00000000" w:rsidP="00000000" w:rsidRDefault="00000000" w:rsidRPr="00000000" w14:paraId="00000024">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8u2gcpyyqs0q" w:id="2"/>
      <w:bookmarkEnd w:id="2"/>
      <w:r w:rsidDel="00000000" w:rsidR="00000000" w:rsidRPr="00000000">
        <w:rPr>
          <w:rFonts w:ascii="Times New Roman" w:cs="Times New Roman" w:eastAsia="Times New Roman" w:hAnsi="Times New Roman"/>
          <w:b w:val="1"/>
          <w:bCs w:val="1"/>
          <w:i w:val="1"/>
          <w:iCs w:val="1"/>
          <w:sz w:val="24"/>
          <w:szCs w:val="24"/>
          <w:rtl w:val="0"/>
        </w:rPr>
        <w:t xml:space="preserve">2.1. Accounting comparability </w:t>
      </w:r>
    </w:p>
    <w:p w:rsidR="00000000" w:rsidDel="00000000" w:rsidP="00000000" w:rsidRDefault="00000000" w:rsidRPr="00000000" w14:paraId="00000025">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Accounting comparability is widely recognized as a fundamental qualitative characteristic of financial information, as it enables users of financial statements to identify similarities and differences in firms’ financial performance and financial position (IASB, 2018). By facilitating cross-firm comparisons, accounting comparability enhances the usefulness of financial reports for investors and other stakeholders. However, this conceptual definition is inherently qualitative and does not, by itself, provide a direct basis for empirical analysis. As a result, a key challenge in the accounting literature is how to translate accounting comparability into an observable and measurable construct suitable for empirical research.</w:t>
      </w:r>
    </w:p>
    <w:p w:rsidR="00000000" w:rsidDel="00000000" w:rsidP="00000000" w:rsidRDefault="00000000" w:rsidRPr="00000000" w14:paraId="00000026">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seminal framework for measuring accounting comparability in empirical settings is proposed by De Franco et al. (2011). Rather than focusing on similarities in reported accounting numbers, they conceptualize a firm’s accounting system as a mapping function that translates underlying economic events into reported accounting outcomes. Within this framework, accounting comparability is defined as the degree to which different firms’ accounting systems generate similar accounting outcomes when they are exposed to the same set of economic events. Stock returns are used as a comprehensive proxy for firms’ underlying economic events, as stock returns reflect both realized economic shocks and market expectations about future cash flows (De Franco et al., 2011). Firm-specific accounting functions are estimated by regressing accounting earnings on stock returns over a given estimation period. These estimated functions capture how each firm’s accounting system maps economic events into reported earnings. Accounting comparability between two firms is then measured based on the similarity of their predicted earnings responses to an identical stock return realization. Specifically, for a given level of stock returns, the predicted earnings generated by each firm’s accounting function are compared, and smaller differences in predicted earnings indicate a higher degree of accounting comparability. This approach allows researchers to assess whether firms employ similar accounting systems, conditional on experiencing the same economic events, independent of differences in firm size, scale, or absolute profitability.</w:t>
      </w:r>
    </w:p>
    <w:p w:rsidR="00000000" w:rsidDel="00000000" w:rsidP="00000000" w:rsidRDefault="00000000" w:rsidRPr="00000000" w14:paraId="00000027">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accounting-function-based measure has become the dominant approach in the empirical literature on accounting comparability, as it captures similarities in firms’ underlying accounting systems rather than superficial similarities in observed accounting numbers (Francis et al., 2014; Kim et al., 2013). Accordingly, accounting comparability is increasingly treated as an empirical construct that reflects the consistency with which firms translate economic events into reported accounting outcomes.</w:t>
      </w:r>
    </w:p>
    <w:p w:rsidR="00000000" w:rsidDel="00000000" w:rsidP="00000000" w:rsidRDefault="00000000" w:rsidRPr="00000000" w14:paraId="00000028">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2ctekewo65w2" w:id="3"/>
      <w:bookmarkEnd w:id="3"/>
      <w:r w:rsidDel="00000000" w:rsidR="00000000" w:rsidRPr="00000000">
        <w:rPr>
          <w:rFonts w:ascii="Times New Roman" w:cs="Times New Roman" w:eastAsia="Times New Roman" w:hAnsi="Times New Roman"/>
          <w:b w:val="1"/>
          <w:bCs w:val="1"/>
          <w:i w:val="1"/>
          <w:iCs w:val="1"/>
          <w:sz w:val="24"/>
          <w:szCs w:val="24"/>
          <w:rtl w:val="0"/>
        </w:rPr>
        <w:t xml:space="preserve">2.2. Shared auditors</w:t>
      </w:r>
    </w:p>
    <w:p w:rsidR="00000000" w:rsidDel="00000000" w:rsidP="00000000" w:rsidRDefault="00000000" w:rsidRPr="00000000" w14:paraId="00000029">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 auditors refer to situations in which two or more firms engage the same audit firm or the same engagement partner to conduct their financial statement audits. Within the corporate reporting system, shared auditors serve not only as external monitors but also as important standardization mechanisms that influence firms’ accounting practices (Tian et al., 2025).</w:t>
      </w:r>
    </w:p>
    <w:p w:rsidR="00000000" w:rsidDel="00000000" w:rsidP="00000000" w:rsidRDefault="00000000" w:rsidRPr="00000000" w14:paraId="0000002A">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role of shared auditors is closely linked to the concept of audit style. Audit firms develop distinct sets of internal working rules, methodologies, and quality control procedures that guide the interpretation and enforcement of accounting standards across their client portfolios (Francis et al., 2014). When multiple firms are audited by the same audit firm, they are subject to similar audit approaches, which constrains the diversity of accounting choices and promotes consistency in financial reporting outcomes.</w:t>
      </w:r>
    </w:p>
    <w:p w:rsidR="00000000" w:rsidDel="00000000" w:rsidP="00000000" w:rsidRDefault="00000000" w:rsidRPr="00000000" w14:paraId="0000002B">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audit firm level, large audit firms invest heavily in standardized audit technologies, training programs, and internal guidance systems. The application of these firm-specific audit styles across multiple clients creates a convergence in accounting practices, particularly among firms operating within the same industry. Empirical evidence shows that firms audited by the same audit firm exhibit more similar earnings and accrual structures than firms audited by different audit firms (Francis et al., 2014).</w:t>
      </w:r>
    </w:p>
    <w:p w:rsidR="00000000" w:rsidDel="00000000" w:rsidP="00000000" w:rsidRDefault="00000000" w:rsidRPr="00000000" w14:paraId="0000002C">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 the organizational level, recent literature highlights the importance of individual auditors in shaping financial reporting outcomes. Although audit firms provide a general structural framework, individual engagement partners differ in expertise, experience, risk preferences, and professional judgment. Firms audited by the same signing auditor exhibit significantly greater similarity in accounting outcomes, even after controlling for audit firm and audit office effects (Chen et al., 2020). These findings suggest that individual auditors possess persistent personal styles that independently influence client reporting behavior.</w:t>
      </w:r>
    </w:p>
    <w:p w:rsidR="00000000" w:rsidDel="00000000" w:rsidP="00000000" w:rsidRDefault="00000000" w:rsidRPr="00000000" w14:paraId="0000002D">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evidence indicates that auditor characteristics, such as industry expertise, strengthen the role of shared auditors in harmonizing accounting practices. Ahn &amp; Sonu (2021) show that accounting comparability is higher among firms audited by the same industry-specialist partner, highlighting the role of auditor human capital in promoting consistent application of accounting standards. Collectively, this literature positions shared auditors as an important institutional channel through which accounting practices are synchronized across firms.</w:t>
      </w:r>
    </w:p>
    <w:p w:rsidR="00000000" w:rsidDel="00000000" w:rsidP="00000000" w:rsidRDefault="00000000" w:rsidRPr="00000000" w14:paraId="0000002E">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hmm71wiqitvr" w:id="4"/>
      <w:bookmarkEnd w:id="4"/>
      <w:r w:rsidDel="00000000" w:rsidR="00000000" w:rsidRPr="00000000">
        <w:rPr>
          <w:rFonts w:ascii="Times New Roman" w:cs="Times New Roman" w:eastAsia="Times New Roman" w:hAnsi="Times New Roman"/>
          <w:b w:val="1"/>
          <w:bCs w:val="1"/>
          <w:i w:val="1"/>
          <w:iCs w:val="1"/>
          <w:sz w:val="24"/>
          <w:szCs w:val="24"/>
          <w:rtl w:val="0"/>
        </w:rPr>
        <w:t xml:space="preserve">2.3. The relationship between shared auditors and accounting comparability</w:t>
      </w:r>
    </w:p>
    <w:p w:rsidR="00000000" w:rsidDel="00000000" w:rsidP="00000000" w:rsidRDefault="00000000" w:rsidRPr="00000000" w14:paraId="0000002F">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relationship between shared auditors and accounting comparability is firmly established in the international accounting literature. Accounting comparability reflects the similarity in firms’ accounting systems, defined as the mapping of economic events to reported accounting outcomes. Because auditors directly influence how accounting standards are interpreted and applied, they play a central role in shaping this mapping process (De Franco et al., 2011).</w:t>
      </w:r>
    </w:p>
    <w:p w:rsidR="00000000" w:rsidDel="00000000" w:rsidP="00000000" w:rsidRDefault="00000000" w:rsidRPr="00000000" w14:paraId="00000030">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studies posit that when firms share the same auditor, they are subject to similar monitoring intensity, audit methodologies, and professional judgment. This common audit influence reduces firm-specific variation in accounting choices and increases the likelihood that firms facing similar economic conditions will report comparable accounting outcomes. Empirical evidence at the audit firm level demonstrates that firms audited by the same audit firm exhibit higher earnings and accrual comparability than those audited by different firms (Francis et al., 2014). Extending this relationship to the individual auditor level, studies consistently document that firms sharing the same engagement partner demonstrate significantly higher accounting comparability, even after controlling for audit firm and audit office effects (Chen et al., 2020; Frost et al., 2024). These findings suggest that individual auditors transmit their professional judgment and reporting preferences across client firms, leading to greater uniformity in accounting outcomes.</w:t>
      </w:r>
    </w:p>
    <w:p w:rsidR="00000000" w:rsidDel="00000000" w:rsidP="00000000" w:rsidRDefault="00000000" w:rsidRPr="00000000" w14:paraId="00000031">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contrary to the traditional view that shared auditors universally enhance homogeneity, recent research indicates that in certain cases, auditor-specific characteristics can attenuate or even have no impact on the comparability of accounting information. The shared auditor effect is heterogeneous; specifically, it disappears for audit partners lacking industry expertise (non-expert partners). Specifically, pairs of firms audited by the same non-expert partner do not exhibit a significant increase in comparability, implying that these auditors fail to maintain a consistent and distinct audit style necessary to generate similarity across clients (Ahn &amp; Sonu, 2021). Furthermore, auditor individualism can negatively impact comparability. Auditors with high individualism tend to prioritize autonomy and flexibility over strict adherence to internal working rules (Kim et al., 2025). Instead of applying a uniform audit routine, these auditors often tailor their approach to specific clients based on idiosyncratic judgments. Empirical results show that earnings of clients sharing a highly individualistic partner are actually less comparable than those sharing a non-individualistic partner. This suggests that the “distinct style” of a highly individualistic auditor is characterized by tailored flexibility, leading to divergence rather than convergence in the financial reporting of clients within the same portfolio.</w:t>
      </w:r>
    </w:p>
    <w:p w:rsidR="00000000" w:rsidDel="00000000" w:rsidP="00000000" w:rsidRDefault="00000000" w:rsidRPr="00000000" w14:paraId="00000032">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literature suggests that shared auditors function as an institutional mechanism to standardize the implementation of accounting standards across firms. By applying consistent audit styles and professional judgment, shared auditors enhance the similarity of firms’ accounting systems, thereby increasing accounting comparability. Prior empirical evidence consistently demonstrates a positive association between shared auditors and accounting comparability. Firms audited by the same audit firm or the same engagement partner tend to exhibit more similar accounting outcomes than firms audited by different auditors (Chen et al., 2020; Francis et al., 2014). These findings suggest that shared auditors contribute to greater consistency in the interpretation and application of accounting standards across firms. Building on this literature, the present study examines whether shared auditors enhance accounting comparability in the Vietnamese context. Accordingly, the study proposes the following hypothesis:</w:t>
      </w:r>
    </w:p>
    <w:p w:rsidR="00000000" w:rsidDel="00000000" w:rsidP="00000000" w:rsidRDefault="00000000" w:rsidRPr="00000000" w14:paraId="00000033">
      <w:pPr>
        <w:spacing w:after="120" w:line="288" w:lineRule="auto"/>
        <w:ind w:firstLine="42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H1: Firms that share auditors exhibit higher accounting comparability than firms that do not share auditors.</w:t>
      </w:r>
    </w:p>
    <w:p w:rsidR="00000000" w:rsidDel="00000000" w:rsidP="00000000" w:rsidRDefault="00000000" w:rsidRPr="00000000" w14:paraId="00000034">
      <w:pPr>
        <w:keepNext w:val="1"/>
        <w:keepLines w:val="1"/>
        <w:tabs>
          <w:tab w:val="left" w:leader="none" w:pos="709"/>
        </w:tabs>
        <w:spacing w:after="120" w:line="288" w:lineRule="auto"/>
        <w:jc w:val="both"/>
        <w:rPr>
          <w:rFonts w:ascii="Times New Roman" w:cs="Times New Roman" w:eastAsia="Times New Roman" w:hAnsi="Times New Roman"/>
          <w:b w:val="1"/>
          <w:bCs w:val="1"/>
          <w:sz w:val="24"/>
          <w:szCs w:val="24"/>
        </w:rPr>
      </w:pPr>
      <w:bookmarkStart w:colFirst="0" w:colLast="0" w:name="_heading=h.3y0lr8jikvpn" w:id="5"/>
      <w:bookmarkEnd w:id="5"/>
      <w:r w:rsidDel="00000000" w:rsidR="00000000" w:rsidRPr="00000000">
        <w:rPr>
          <w:rFonts w:ascii="Times New Roman" w:cs="Times New Roman" w:eastAsia="Times New Roman" w:hAnsi="Times New Roman"/>
          <w:b w:val="1"/>
          <w:bCs w:val="1"/>
          <w:sz w:val="24"/>
          <w:szCs w:val="24"/>
          <w:rtl w:val="0"/>
        </w:rPr>
        <w:t xml:space="preserve">3. Methodology</w:t>
      </w:r>
    </w:p>
    <w:p w:rsidR="00000000" w:rsidDel="00000000" w:rsidP="00000000" w:rsidRDefault="00000000" w:rsidRPr="00000000" w14:paraId="00000035">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o26shlatvr1v" w:id="6"/>
      <w:bookmarkEnd w:id="6"/>
      <w:r w:rsidDel="00000000" w:rsidR="00000000" w:rsidRPr="00000000">
        <w:rPr>
          <w:rFonts w:ascii="Times New Roman" w:cs="Times New Roman" w:eastAsia="Times New Roman" w:hAnsi="Times New Roman"/>
          <w:b w:val="1"/>
          <w:bCs w:val="1"/>
          <w:i w:val="1"/>
          <w:iCs w:val="1"/>
          <w:sz w:val="24"/>
          <w:szCs w:val="24"/>
          <w:rtl w:val="0"/>
        </w:rPr>
        <w:t xml:space="preserve">3.1. Model</w:t>
      </w:r>
    </w:p>
    <w:p w:rsidR="00000000" w:rsidDel="00000000" w:rsidP="00000000" w:rsidRDefault="00000000" w:rsidRPr="00000000" w14:paraId="00000036">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the effect of shared auditors on accounting comparability by adopting the empirical framework of Smith (2022) and Ahn &amp; Sonu (2021), which is grounded in Francis et al. (2014). The baseline model is specified as:</w:t>
      </w:r>
    </w:p>
    <w:p w:rsidR="00000000" w:rsidDel="00000000" w:rsidP="00000000" w:rsidRDefault="00000000" w:rsidRPr="00000000" w14:paraId="00000037">
      <w:pPr>
        <w:spacing w:after="120" w:line="288" w:lineRule="auto"/>
        <w:ind w:firstLine="425"/>
        <w:jc w:val="cente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AcctComp</m:t>
            </m:r>
          </m:e>
          <m:sub>
            <m:r>
              <w:rPr>
                <w:rFonts w:ascii="Cambria Math" w:cs="Cambria Math" w:eastAsia="Cambria Math" w:hAnsi="Cambria Math"/>
                <w:sz w:val="24"/>
                <w:szCs w:val="24"/>
              </w:rPr>
              <m:t xml:space="preserve">ijt</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α</m:t>
            </m:r>
          </m:e>
          <m:sub>
            <m:r>
              <w:rPr>
                <w:rFonts w:ascii="Cambria Math" w:cs="Cambria Math" w:eastAsia="Cambria Math" w:hAnsi="Cambria Math"/>
                <w:sz w:val="24"/>
                <w:szCs w:val="24"/>
              </w:rPr>
              <m:t xml:space="preserve">0</m:t>
            </m:r>
          </m:sub>
        </m:sSub>
        <m:r>
          <w:rPr>
            <w:rFonts w:ascii="Cambria Math" w:cs="Cambria Math" w:eastAsia="Cambria Math" w:hAnsi="Cambria Math"/>
            <w:sz w:val="24"/>
            <w:szCs w:val="24"/>
          </w:rPr>
          <m:t xml:space="preserv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α</m:t>
            </m:r>
          </m:e>
          <m:sub>
            <m:r>
              <w:rPr>
                <w:rFonts w:ascii="Cambria Math" w:cs="Cambria Math" w:eastAsia="Cambria Math" w:hAnsi="Cambria Math"/>
                <w:sz w:val="24"/>
                <w:szCs w:val="24"/>
              </w:rPr>
              <m:t xml:space="preserve">1</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SharedAuditor</m:t>
            </m:r>
          </m:e>
          <m:sub>
            <m:r>
              <w:rPr>
                <w:rFonts w:ascii="Cambria Math" w:cs="Cambria Math" w:eastAsia="Cambria Math" w:hAnsi="Cambria Math"/>
                <w:sz w:val="24"/>
                <w:szCs w:val="24"/>
              </w:rPr>
              <m:t xml:space="preserve">ijt</m:t>
            </m:r>
          </m:sub>
        </m:sSub>
        <m:r>
          <w:rPr>
            <w:rFonts w:ascii="Cambria Math" w:cs="Cambria Math" w:eastAsia="Cambria Math" w:hAnsi="Cambria Math"/>
            <w:sz w:val="24"/>
            <w:szCs w:val="24"/>
          </w:rPr>
          <m:t xml:space="preserve">+ </m:t>
        </m:r>
        <m:nary>
          <m:naryPr>
            <m:chr m:val="∑"/>
            <m:ctrlPr>
              <w:rPr>
                <w:rFonts w:ascii="Cambria Math" w:cs="Cambria Math" w:eastAsia="Cambria Math" w:hAnsi="Cambria Math"/>
                <w:sz w:val="24"/>
                <w:szCs w:val="24"/>
              </w:rPr>
            </m:ctrlPr>
          </m:naryPr>
          <m:sub/>
          <m:sup/>
        </m:nary>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α</m:t>
            </m:r>
          </m:e>
          <m:sub>
            <m:r>
              <w:rPr>
                <w:rFonts w:ascii="Cambria Math" w:cs="Cambria Math" w:eastAsia="Cambria Math" w:hAnsi="Cambria Math"/>
                <w:sz w:val="24"/>
                <w:szCs w:val="24"/>
              </w:rPr>
              <m:t xml:space="preserve">2k</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Controls</m:t>
            </m:r>
          </m:e>
          <m:sub>
            <m:r>
              <w:rPr>
                <w:rFonts w:ascii="Cambria Math" w:cs="Cambria Math" w:eastAsia="Cambria Math" w:hAnsi="Cambria Math"/>
                <w:sz w:val="24"/>
                <w:szCs w:val="24"/>
              </w:rPr>
              <m:t xml:space="preserve">ijt</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ε</m:t>
            </m:r>
          </m:e>
          <m:sub>
            <m:r>
              <w:rPr>
                <w:rFonts w:ascii="Cambria Math" w:cs="Cambria Math" w:eastAsia="Cambria Math" w:hAnsi="Cambria Math"/>
                <w:sz w:val="24"/>
                <w:szCs w:val="24"/>
              </w:rPr>
              <m:t xml:space="preserve">ijt</m:t>
            </m:r>
          </m:sub>
        </m:sSub>
      </m:oMath>
      <w:r w:rsidDel="00000000" w:rsidR="00000000" w:rsidRPr="00000000">
        <w:rPr>
          <w:rFonts w:ascii="Times New Roman" w:cs="Times New Roman" w:eastAsia="Times New Roman" w:hAnsi="Times New Roman"/>
          <w:sz w:val="24"/>
          <w:szCs w:val="24"/>
          <w:rtl w:val="0"/>
        </w:rPr>
        <w:t xml:space="preserve">      (3.1)</w:t>
      </w:r>
    </w:p>
    <w:p w:rsidR="00000000" w:rsidDel="00000000" w:rsidP="00000000" w:rsidRDefault="00000000" w:rsidRPr="00000000" w14:paraId="00000038">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AcctComp</m:t>
            </m:r>
          </m:e>
          <m:sub>
            <m:r>
              <w:rPr>
                <w:rFonts w:ascii="Cambria Math" w:cs="Cambria Math" w:eastAsia="Cambria Math" w:hAnsi="Cambria Math"/>
                <w:sz w:val="24"/>
                <w:szCs w:val="24"/>
              </w:rPr>
              <m:t xml:space="preserve">ijt</m:t>
            </m:r>
          </m:sub>
        </m:sSub>
      </m:oMath>
      <w:r w:rsidDel="00000000" w:rsidR="00000000" w:rsidRPr="00000000">
        <w:rPr>
          <w:rFonts w:ascii="Times New Roman" w:cs="Times New Roman" w:eastAsia="Times New Roman" w:hAnsi="Times New Roman"/>
          <w:sz w:val="24"/>
          <w:szCs w:val="24"/>
          <w:rtl w:val="0"/>
        </w:rPr>
        <w:t xml:space="preserve"> denotes accounting comparability between firms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j</w:t>
      </w:r>
      <w:r w:rsidDel="00000000" w:rsidR="00000000" w:rsidRPr="00000000">
        <w:rPr>
          <w:rFonts w:ascii="Times New Roman" w:cs="Times New Roman" w:eastAsia="Times New Roman" w:hAnsi="Times New Roman"/>
          <w:sz w:val="24"/>
          <w:szCs w:val="24"/>
          <w:rtl w:val="0"/>
        </w:rPr>
        <w:t xml:space="preserve"> in year </w:t>
      </w:r>
      <w:r w:rsidDel="00000000" w:rsidR="00000000" w:rsidRPr="00000000">
        <w:rPr>
          <w:rFonts w:ascii="Times New Roman" w:cs="Times New Roman" w:eastAsia="Times New Roman" w:hAnsi="Times New Roman"/>
          <w:i w:val="1"/>
          <w:iCs w:val="1"/>
          <w:sz w:val="24"/>
          <w:szCs w:val="24"/>
          <w:rtl w:val="0"/>
        </w:rPr>
        <w:t xml:space="preserve">t</w:t>
      </w:r>
      <w:r w:rsidDel="00000000" w:rsidR="00000000" w:rsidRPr="00000000">
        <w:rPr>
          <w:rFonts w:ascii="Times New Roman" w:cs="Times New Roman" w:eastAsia="Times New Roman" w:hAnsi="Times New Roman"/>
          <w:sz w:val="24"/>
          <w:szCs w:val="24"/>
          <w:rtl w:val="0"/>
        </w:rPr>
        <w:t xml:space="preserve">, measured following De Franco et al. (2011). The key independent variable, shared auditor​s, is captured by two indicators: </w:t>
      </w:r>
      <w:r w:rsidDel="00000000" w:rsidR="00000000" w:rsidRPr="00000000">
        <w:rPr>
          <w:rFonts w:ascii="Times New Roman" w:cs="Times New Roman" w:eastAsia="Times New Roman" w:hAnsi="Times New Roman"/>
          <w:i w:val="1"/>
          <w:iCs w:val="1"/>
          <w:sz w:val="24"/>
          <w:szCs w:val="24"/>
          <w:rtl w:val="0"/>
        </w:rPr>
        <w:t xml:space="preserve">SameFirm</w:t>
      </w:r>
      <w:r w:rsidDel="00000000" w:rsidR="00000000" w:rsidRPr="00000000">
        <w:rPr>
          <w:rFonts w:ascii="Times New Roman" w:cs="Times New Roman" w:eastAsia="Times New Roman" w:hAnsi="Times New Roman"/>
          <w:sz w:val="24"/>
          <w:szCs w:val="24"/>
          <w:rtl w:val="0"/>
        </w:rPr>
        <w:t xml:space="preserve">, which equals 1 if both firms are audited by the same audit firm, and </w:t>
      </w:r>
      <w:r w:rsidDel="00000000" w:rsidR="00000000" w:rsidRPr="00000000">
        <w:rPr>
          <w:rFonts w:ascii="Times New Roman" w:cs="Times New Roman" w:eastAsia="Times New Roman" w:hAnsi="Times New Roman"/>
          <w:i w:val="1"/>
          <w:iCs w:val="1"/>
          <w:sz w:val="24"/>
          <w:szCs w:val="24"/>
          <w:rtl w:val="0"/>
        </w:rPr>
        <w:t xml:space="preserve">SameAuditor</w:t>
      </w:r>
      <w:r w:rsidDel="00000000" w:rsidR="00000000" w:rsidRPr="00000000">
        <w:rPr>
          <w:rFonts w:ascii="Times New Roman" w:cs="Times New Roman" w:eastAsia="Times New Roman" w:hAnsi="Times New Roman"/>
          <w:sz w:val="24"/>
          <w:szCs w:val="24"/>
          <w:rtl w:val="0"/>
        </w:rPr>
        <w:t xml:space="preserve">, which equals 1 if they share the same engagement partner.</w:t>
      </w:r>
    </w:p>
    <w:p w:rsidR="00000000" w:rsidDel="00000000" w:rsidP="00000000" w:rsidRDefault="00000000" w:rsidRPr="00000000" w14:paraId="00000039">
      <w:pPr>
        <w:spacing w:after="120" w:line="288" w:lineRule="auto"/>
        <w:ind w:firstLine="4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set of control variables is included to account for economic and financial differences between firms that may influence accounting comparability, consistent with prior firm-pair studies. Because accounting comparability is measured at the firm-pair level,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Controls</m:t>
            </m:r>
          </m:e>
          <m:sub>
            <m:r>
              <w:rPr>
                <w:rFonts w:ascii="Cambria Math" w:cs="Cambria Math" w:eastAsia="Cambria Math" w:hAnsi="Cambria Math"/>
                <w:sz w:val="24"/>
                <w:szCs w:val="24"/>
              </w:rPr>
              <m:t xml:space="preserve">ijt</m:t>
            </m:r>
          </m:sub>
        </m:sSub>
      </m:oMath>
      <w:r w:rsidDel="00000000" w:rsidR="00000000" w:rsidRPr="00000000">
        <w:rPr>
          <w:rFonts w:ascii="Times New Roman" w:cs="Times New Roman" w:eastAsia="Times New Roman" w:hAnsi="Times New Roman"/>
          <w:sz w:val="24"/>
          <w:szCs w:val="24"/>
          <w:rtl w:val="0"/>
        </w:rPr>
        <w:t xml:space="preserve">​ are constructed accordingly and include characteristics such as firm size, leverage, market-to-book ratio, cash flow, profitability, growth, age, and operating cycle. Following Chen et al. (2020), all controls are decomposed into absolute differences (</w:t>
      </w:r>
      <w:r w:rsidDel="00000000" w:rsidR="00000000" w:rsidRPr="00000000">
        <w:rPr>
          <w:rFonts w:ascii="Times New Roman" w:cs="Times New Roman" w:eastAsia="Times New Roman" w:hAnsi="Times New Roman"/>
          <w:i w:val="1"/>
          <w:iCs w:val="1"/>
          <w:sz w:val="24"/>
          <w:szCs w:val="24"/>
          <w:rtl w:val="0"/>
        </w:rPr>
        <w:t xml:space="preserve">diff</w:t>
      </w:r>
      <w:r w:rsidDel="00000000" w:rsidR="00000000" w:rsidRPr="00000000">
        <w:rPr>
          <w:rFonts w:ascii="Times New Roman" w:cs="Times New Roman" w:eastAsia="Times New Roman" w:hAnsi="Times New Roman"/>
          <w:sz w:val="24"/>
          <w:szCs w:val="24"/>
          <w:rtl w:val="0"/>
        </w:rPr>
        <w:t xml:space="preserve">) and minimum values (</w:t>
      </w:r>
      <w:r w:rsidDel="00000000" w:rsidR="00000000" w:rsidRPr="00000000">
        <w:rPr>
          <w:rFonts w:ascii="Times New Roman" w:cs="Times New Roman" w:eastAsia="Times New Roman" w:hAnsi="Times New Roman"/>
          <w:i w:val="1"/>
          <w:iCs w:val="1"/>
          <w:sz w:val="24"/>
          <w:szCs w:val="24"/>
          <w:rtl w:val="0"/>
        </w:rPr>
        <w:t xml:space="preserve">min</w:t>
      </w:r>
      <w:r w:rsidDel="00000000" w:rsidR="00000000" w:rsidRPr="00000000">
        <w:rPr>
          <w:rFonts w:ascii="Times New Roman" w:cs="Times New Roman" w:eastAsia="Times New Roman" w:hAnsi="Times New Roman"/>
          <w:sz w:val="24"/>
          <w:szCs w:val="24"/>
          <w:rtl w:val="0"/>
        </w:rPr>
        <w:t xml:space="preserve">) between firms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j</w:t>
      </w:r>
      <w:r w:rsidDel="00000000" w:rsidR="00000000" w:rsidRPr="00000000">
        <w:rPr>
          <w:rFonts w:ascii="Times New Roman" w:cs="Times New Roman" w:eastAsia="Times New Roman" w:hAnsi="Times New Roman"/>
          <w:sz w:val="24"/>
          <w:szCs w:val="24"/>
          <w:rtl w:val="0"/>
        </w:rPr>
        <w:t xml:space="preserve">, where the difference component captures cross-firm heterogeneity and the minimum component reflects baseline economic capacity that may constrain comparability. Year and industry fixed effects are incorporated to mitigate the influence of time-specific shocks and industry characteristics. Consistent with Hypothesis H1, </w:t>
      </w:r>
      <m:oMath>
        <m:sSub>
          <m:sSubPr>
            <m:ctrlPr>
              <w:rPr>
                <w:rFonts w:ascii="Cambria Math" w:cs="Cambria Math" w:eastAsia="Cambria Math" w:hAnsi="Cambria Math"/>
                <w:sz w:val="24"/>
                <w:szCs w:val="24"/>
              </w:rPr>
            </m:ctrlPr>
          </m:sSubPr>
          <m:e>
            <m:r>
              <m:t>α</m:t>
            </m:r>
          </m:e>
          <m:sub>
            <m:r>
              <w:rPr>
                <w:rFonts w:ascii="Cambria Math" w:cs="Cambria Math" w:eastAsia="Cambria Math" w:hAnsi="Cambria Math"/>
                <w:sz w:val="24"/>
                <w:szCs w:val="24"/>
              </w:rPr>
              <m:t xml:space="preserve">1</m:t>
            </m:r>
          </m:sub>
        </m:sSub>
      </m:oMath>
      <w:r w:rsidDel="00000000" w:rsidR="00000000" w:rsidRPr="00000000">
        <w:rPr>
          <w:rFonts w:ascii="Times New Roman" w:cs="Times New Roman" w:eastAsia="Times New Roman" w:hAnsi="Times New Roman"/>
          <w:sz w:val="24"/>
          <w:szCs w:val="24"/>
          <w:rtl w:val="0"/>
        </w:rPr>
        <w:t xml:space="preserve"> is expected to be positive.</w:t>
      </w:r>
    </w:p>
    <w:p w:rsidR="00000000" w:rsidDel="00000000" w:rsidP="00000000" w:rsidRDefault="00000000" w:rsidRPr="00000000" w14:paraId="0000003A">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q2sprzeopf8t" w:id="7"/>
      <w:bookmarkEnd w:id="7"/>
      <w:r w:rsidDel="00000000" w:rsidR="00000000" w:rsidRPr="00000000">
        <w:rPr>
          <w:rFonts w:ascii="Times New Roman" w:cs="Times New Roman" w:eastAsia="Times New Roman" w:hAnsi="Times New Roman"/>
          <w:b w:val="1"/>
          <w:bCs w:val="1"/>
          <w:i w:val="1"/>
          <w:iCs w:val="1"/>
          <w:sz w:val="24"/>
          <w:szCs w:val="24"/>
          <w:rtl w:val="0"/>
        </w:rPr>
        <w:t xml:space="preserve">3.2. Variable measurement</w:t>
      </w:r>
    </w:p>
    <w:p w:rsidR="00000000" w:rsidDel="00000000" w:rsidP="00000000" w:rsidRDefault="00000000" w:rsidRPr="00000000" w14:paraId="0000003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dependent variable, accounting comparability reflects the extent to which firms translate similar economic events into comparable accounting outcomes </w:t>
      </w:r>
      <w:r w:rsidDel="00000000" w:rsidR="00000000" w:rsidRPr="00000000">
        <w:rPr>
          <w:rFonts w:ascii="Times New Roman" w:cs="Times New Roman" w:eastAsia="Times New Roman" w:hAnsi="Times New Roman"/>
          <w:color w:val="000000"/>
          <w:sz w:val="24"/>
          <w:szCs w:val="24"/>
          <w:rtl w:val="0"/>
        </w:rPr>
        <w:t xml:space="preserve">(IASB, 2018)</w:t>
      </w:r>
      <w:r w:rsidDel="00000000" w:rsidR="00000000" w:rsidRPr="00000000">
        <w:rPr>
          <w:rFonts w:ascii="Times New Roman" w:cs="Times New Roman" w:eastAsia="Times New Roman" w:hAnsi="Times New Roman"/>
          <w:sz w:val="24"/>
          <w:szCs w:val="24"/>
          <w:rtl w:val="0"/>
        </w:rPr>
        <w:t xml:space="preserve">. Following </w:t>
      </w:r>
      <w:r w:rsidDel="00000000" w:rsidR="00000000" w:rsidRPr="00000000">
        <w:rPr>
          <w:rFonts w:ascii="Times New Roman" w:cs="Times New Roman" w:eastAsia="Times New Roman" w:hAnsi="Times New Roman"/>
          <w:color w:val="000000"/>
          <w:sz w:val="24"/>
          <w:szCs w:val="24"/>
          <w:rtl w:val="0"/>
        </w:rPr>
        <w:t xml:space="preserve">De Franco et al. (2011)</w:t>
      </w:r>
      <w:r w:rsidDel="00000000" w:rsidR="00000000" w:rsidRPr="00000000">
        <w:rPr>
          <w:rFonts w:ascii="Times New Roman" w:cs="Times New Roman" w:eastAsia="Times New Roman" w:hAnsi="Times New Roman"/>
          <w:sz w:val="24"/>
          <w:szCs w:val="24"/>
          <w:rtl w:val="0"/>
        </w:rPr>
        <w:t xml:space="preserve">, this study conceptualizes accounting comparability based on the similarity of firms’ accounting functions, where an accounting system is viewed as a mapping from economic events to reported earnings.</w:t>
      </w:r>
    </w:p>
    <w:p w:rsidR="00000000" w:rsidDel="00000000" w:rsidP="00000000" w:rsidRDefault="00000000" w:rsidRPr="00000000" w14:paraId="0000003C">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Specifically, firm-level accounting functions are estimated by modeling earnings as a linear function of stock returns, which proxy for economic events:</w:t>
      </w:r>
    </w:p>
    <w:p w:rsidR="00000000" w:rsidDel="00000000" w:rsidP="00000000" w:rsidRDefault="00000000" w:rsidRPr="00000000" w14:paraId="0000003D">
      <w:pPr>
        <w:spacing w:after="120" w:line="288" w:lineRule="auto"/>
        <w:ind w:firstLine="426"/>
        <w:jc w:val="center"/>
        <w:rPr>
          <w:rFonts w:ascii="Times New Roman" w:cs="Times New Roman" w:eastAsia="Times New Roman" w:hAnsi="Times New Roman"/>
          <w:sz w:val="24"/>
          <w:szCs w:val="24"/>
        </w:rPr>
      </w:pP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Earnings</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α</m:t>
            </m:r>
          </m:e>
          <m:sub>
            <m:r>
              <w:rPr>
                <w:rFonts w:ascii="Cambria Math" w:cs="Cambria Math" w:eastAsia="Cambria Math" w:hAnsi="Cambria Math"/>
                <w:sz w:val="24"/>
                <w:szCs w:val="24"/>
              </w:rPr>
              <m:t xml:space="preserve">i</m:t>
            </m:r>
          </m:sub>
        </m:sSub>
        <m:r>
          <w:rPr>
            <w:rFonts w:ascii="Cambria Math" w:cs="Cambria Math" w:eastAsia="Cambria Math" w:hAnsi="Cambria Math"/>
            <w:sz w:val="24"/>
            <w:szCs w:val="24"/>
          </w:rPr>
          <m:t xml:space="preserve"> +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β</m:t>
            </m:r>
          </m:e>
          <m:sub>
            <m:r>
              <w:rPr>
                <w:rFonts w:ascii="Cambria Math" w:cs="Cambria Math" w:eastAsia="Cambria Math" w:hAnsi="Cambria Math"/>
                <w:sz w:val="24"/>
                <w:szCs w:val="24"/>
              </w:rPr>
              <m:t xml:space="preserve">i</m:t>
            </m:r>
          </m:sub>
        </m:s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Return</m:t>
            </m:r>
          </m:e>
          <m:sub>
            <m:r>
              <w:rPr>
                <w:rFonts w:ascii="Cambria Math" w:cs="Cambria Math" w:eastAsia="Cambria Math" w:hAnsi="Cambria Math"/>
                <w:sz w:val="24"/>
                <w:szCs w:val="24"/>
              </w:rPr>
              <m:t xml:space="preserve">it</m:t>
            </m:r>
          </m:sub>
        </m:sSub>
        <m:r>
          <w:rPr>
            <w:rFonts w:ascii="Cambria Math" w:cs="Cambria Math" w:eastAsia="Cambria Math" w:hAnsi="Cambria Math"/>
            <w:sz w:val="24"/>
            <w:szCs w:val="24"/>
          </w:rPr>
          <m:t xml:space="preserve"> + </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ε</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(3.2)</w:t>
      </w:r>
    </w:p>
    <w:p w:rsidR="00000000" w:rsidDel="00000000" w:rsidP="00000000" w:rsidRDefault="00000000" w:rsidRPr="00000000" w14:paraId="0000003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Earnings</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is net income before extraordinary items scaled by beginning-of-period market value of equity, and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Return</m:t>
            </m:r>
          </m:e>
          <m:sub>
            <m:r>
              <w:rPr>
                <w:rFonts w:ascii="Cambria Math" w:cs="Cambria Math" w:eastAsia="Cambria Math" w:hAnsi="Cambria Math"/>
                <w:sz w:val="24"/>
                <w:szCs w:val="24"/>
              </w:rPr>
              <m:t xml:space="preserve">it</m:t>
            </m:r>
          </m:sub>
        </m:sSub>
      </m:oMath>
      <w:r w:rsidDel="00000000" w:rsidR="00000000" w:rsidRPr="00000000">
        <w:rPr>
          <w:rFonts w:ascii="Times New Roman" w:cs="Times New Roman" w:eastAsia="Times New Roman" w:hAnsi="Times New Roman"/>
          <w:sz w:val="24"/>
          <w:szCs w:val="24"/>
          <w:rtl w:val="0"/>
        </w:rPr>
        <w:t xml:space="preserve">​ is the firm’s stock return, capturing both capital gains and dividend income.</w:t>
      </w:r>
    </w:p>
    <w:p w:rsidR="00000000" w:rsidDel="00000000" w:rsidP="00000000" w:rsidRDefault="00000000" w:rsidRPr="00000000" w14:paraId="0000003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estimated accounting functions, predicted earnings are computed for firm pairs when exposed to an identical set of economic events. Accounting comparability between firms </w:t>
      </w:r>
      <w:r w:rsidDel="00000000" w:rsidR="00000000" w:rsidRPr="00000000">
        <w:rPr>
          <w:rFonts w:ascii="Times New Roman" w:cs="Times New Roman" w:eastAsia="Times New Roman" w:hAnsi="Times New Roman"/>
          <w:i w:val="1"/>
          <w:iCs w:val="1"/>
          <w:sz w:val="24"/>
          <w:szCs w:val="24"/>
          <w:rtl w:val="0"/>
        </w:rPr>
        <w:t xml:space="preserve">i</w:t>
      </w:r>
      <w:r w:rsidDel="00000000" w:rsidR="00000000" w:rsidRPr="00000000">
        <w:rPr>
          <w:rFonts w:ascii="Times New Roman" w:cs="Times New Roman" w:eastAsia="Times New Roman" w:hAnsi="Times New Roman"/>
          <w:sz w:val="24"/>
          <w:szCs w:val="24"/>
          <w:rtl w:val="0"/>
        </w:rPr>
        <w:t xml:space="preserve"> and </w:t>
      </w:r>
      <w:r w:rsidDel="00000000" w:rsidR="00000000" w:rsidRPr="00000000">
        <w:rPr>
          <w:rFonts w:ascii="Times New Roman" w:cs="Times New Roman" w:eastAsia="Times New Roman" w:hAnsi="Times New Roman"/>
          <w:i w:val="1"/>
          <w:iCs w:val="1"/>
          <w:sz w:val="24"/>
          <w:szCs w:val="24"/>
          <w:rtl w:val="0"/>
        </w:rPr>
        <w:t xml:space="preserve">j</w:t>
      </w:r>
      <w:r w:rsidDel="00000000" w:rsidR="00000000" w:rsidRPr="00000000">
        <w:rPr>
          <w:rFonts w:ascii="Times New Roman" w:cs="Times New Roman" w:eastAsia="Times New Roman" w:hAnsi="Times New Roman"/>
          <w:sz w:val="24"/>
          <w:szCs w:val="24"/>
          <w:rtl w:val="0"/>
        </w:rPr>
        <w:t xml:space="preserve"> is then measured as the negative of the average absolute difference between their predicted earnings over a rolling 16-quarter window:</w:t>
      </w:r>
    </w:p>
    <w:p w:rsidR="00000000" w:rsidDel="00000000" w:rsidP="00000000" w:rsidRDefault="00000000" w:rsidRPr="00000000" w14:paraId="00000040">
      <w:pPr>
        <w:spacing w:after="120" w:line="288" w:lineRule="auto"/>
        <w:ind w:firstLine="426"/>
        <w:jc w:val="center"/>
        <w:rPr>
          <w:rFonts w:ascii="Times New Roman" w:cs="Times New Roman" w:eastAsia="Times New Roman" w:hAnsi="Times New Roman"/>
          <w:sz w:val="24"/>
          <w:szCs w:val="24"/>
        </w:rPr>
      </w:pPr>
      <m:oMath>
        <m:sSub>
          <m:sSubPr>
            <m:ctrlPr>
              <w:rPr>
                <w:rFonts w:ascii="Cambria Math" w:cs="Cambria Math" w:eastAsia="Cambria Math" w:hAnsi="Cambria Math"/>
              </w:rPr>
            </m:ctrlPr>
          </m:sSubPr>
          <m:e>
            <m:r>
              <w:rPr>
                <w:rFonts w:ascii="Cambria Math" w:cs="Cambria Math" w:eastAsia="Cambria Math" w:hAnsi="Cambria Math"/>
              </w:rPr>
              <m:t xml:space="preserve">AcctComp</m:t>
            </m:r>
          </m:e>
          <m:sub>
            <m:r>
              <w:rPr>
                <w:rFonts w:ascii="Cambria Math" w:cs="Cambria Math" w:eastAsia="Cambria Math" w:hAnsi="Cambria Math"/>
              </w:rPr>
              <m:t xml:space="preserve">ijt</m:t>
            </m:r>
          </m:sub>
        </m:sSub>
        <m:r>
          <w:rPr>
            <w:rFonts w:ascii="Cambria Math" w:cs="Cambria Math" w:eastAsia="Cambria Math" w:hAnsi="Cambria Math"/>
          </w:rPr>
          <m:t xml:space="preserve"> = </m:t>
        </m:r>
        <m:f>
          <m:fPr>
            <m:ctrlPr>
              <w:rPr>
                <w:rFonts w:ascii="Cambria Math" w:cs="Cambria Math" w:eastAsia="Cambria Math" w:hAnsi="Cambria Math"/>
              </w:rPr>
            </m:ctrlPr>
          </m:fPr>
          <m:num>
            <m:r>
              <w:rPr>
                <w:rFonts w:ascii="Cambria Math" w:cs="Cambria Math" w:eastAsia="Cambria Math" w:hAnsi="Cambria Math"/>
              </w:rPr>
              <m:t xml:space="preserve">-1</m:t>
            </m:r>
          </m:num>
          <m:den>
            <m:r>
              <w:rPr>
                <w:rFonts w:ascii="Cambria Math" w:cs="Cambria Math" w:eastAsia="Cambria Math" w:hAnsi="Cambria Math"/>
              </w:rPr>
              <m:t xml:space="preserve">16</m:t>
            </m:r>
          </m:den>
        </m:f>
        <m:nary>
          <m:naryPr>
            <m:chr m:val="∑"/>
            <m:ctrlPr>
              <w:rPr>
                <w:rFonts w:ascii="Cambria Math" w:cs="Cambria Math" w:eastAsia="Cambria Math" w:hAnsi="Cambria Math"/>
              </w:rPr>
            </m:ctrlPr>
          </m:naryPr>
          <m:sub>
            <m:r>
              <w:rPr>
                <w:rFonts w:ascii="Cambria Math" w:cs="Cambria Math" w:eastAsia="Cambria Math" w:hAnsi="Cambria Math"/>
              </w:rPr>
              <m:t xml:space="preserve">t-15</m:t>
            </m:r>
          </m:sub>
          <m:sup>
            <m:r>
              <w:rPr>
                <w:rFonts w:ascii="Cambria Math" w:cs="Cambria Math" w:eastAsia="Cambria Math" w:hAnsi="Cambria Math"/>
              </w:rPr>
              <m:t xml:space="preserve">t</m:t>
            </m:r>
          </m:sup>
        </m:nary>
        <m:r>
          <w:rPr>
            <w:rFonts w:ascii="Cambria Math" w:cs="Cambria Math" w:eastAsia="Cambria Math" w:hAnsi="Cambria Math"/>
          </w:rPr>
          <m:t xml:space="preserve">|E(</m:t>
        </m:r>
        <m:sSub>
          <m:sSubPr>
            <m:ctrlPr>
              <w:rPr>
                <w:rFonts w:ascii="Cambria Math" w:cs="Cambria Math" w:eastAsia="Cambria Math" w:hAnsi="Cambria Math"/>
              </w:rPr>
            </m:ctrlPr>
          </m:sSubPr>
          <m:e>
            <m:r>
              <w:rPr>
                <w:rFonts w:ascii="Cambria Math" w:cs="Cambria Math" w:eastAsia="Cambria Math" w:hAnsi="Cambria Math"/>
              </w:rPr>
              <m:t xml:space="preserve">Earnings</m:t>
            </m:r>
          </m:e>
          <m:sub>
            <m:r>
              <w:rPr>
                <w:rFonts w:ascii="Cambria Math" w:cs="Cambria Math" w:eastAsia="Cambria Math" w:hAnsi="Cambria Math"/>
              </w:rPr>
              <m:t xml:space="preserve">iit</m:t>
            </m:r>
          </m:sub>
        </m:sSub>
        <m:r>
          <w:rPr>
            <w:rFonts w:ascii="Cambria Math" w:cs="Cambria Math" w:eastAsia="Cambria Math" w:hAnsi="Cambria Math"/>
          </w:rPr>
          <m:t xml:space="preserve">) -E(</m:t>
        </m:r>
        <m:sSub>
          <m:sSubPr>
            <m:ctrlPr>
              <w:rPr>
                <w:rFonts w:ascii="Cambria Math" w:cs="Cambria Math" w:eastAsia="Cambria Math" w:hAnsi="Cambria Math"/>
              </w:rPr>
            </m:ctrlPr>
          </m:sSubPr>
          <m:e>
            <m:r>
              <w:rPr>
                <w:rFonts w:ascii="Cambria Math" w:cs="Cambria Math" w:eastAsia="Cambria Math" w:hAnsi="Cambria Math"/>
              </w:rPr>
              <m:t xml:space="preserve">Earnings</m:t>
            </m:r>
          </m:e>
          <m:sub>
            <m:r>
              <w:rPr>
                <w:rFonts w:ascii="Cambria Math" w:cs="Cambria Math" w:eastAsia="Cambria Math" w:hAnsi="Cambria Math"/>
              </w:rPr>
              <m:t xml:space="preserve">ijt</m:t>
            </m:r>
          </m:sub>
        </m:sSub>
        <m:r>
          <w:rPr>
            <w:rFonts w:ascii="Cambria Math" w:cs="Cambria Math" w:eastAsia="Cambria Math" w:hAnsi="Cambria Math"/>
          </w:rPr>
          <m:t xml:space="preserve">)</m:t>
        </m:r>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(3.3)</w:t>
      </w:r>
    </w:p>
    <w:p w:rsidR="00000000" w:rsidDel="00000000" w:rsidP="00000000" w:rsidRDefault="00000000" w:rsidRPr="00000000" w14:paraId="00000041">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r>
          <w:rPr>
            <w:rFonts w:ascii="Cambria Math" w:cs="Cambria Math" w:eastAsia="Cambria Math" w:hAnsi="Cambria Math"/>
            <w:sz w:val="24"/>
            <w:szCs w:val="24"/>
          </w:rPr>
          <m:t xml:space="preserve">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Earnings</m:t>
            </m:r>
          </m:e>
          <m:sub>
            <m:r>
              <w:rPr>
                <w:rFonts w:ascii="Cambria Math" w:cs="Cambria Math" w:eastAsia="Cambria Math" w:hAnsi="Cambria Math"/>
                <w:sz w:val="24"/>
                <w:szCs w:val="24"/>
              </w:rPr>
              <m:t xml:space="preserve">iit</m:t>
            </m:r>
          </m:sub>
        </m:sSub>
        <m:r>
          <w:rPr>
            <w:rFonts w:ascii="Cambria Math" w:cs="Cambria Math" w:eastAsia="Cambria Math" w:hAnsi="Cambria Math"/>
            <w:sz w:val="24"/>
            <w:szCs w:val="24"/>
          </w:rPr>
          <m:t xml:space="preserve">) </m:t>
        </m:r>
      </m:oMath>
      <w:r w:rsidDel="00000000" w:rsidR="00000000" w:rsidRPr="00000000">
        <w:rPr>
          <w:rFonts w:ascii="Times New Roman" w:cs="Times New Roman" w:eastAsia="Times New Roman" w:hAnsi="Times New Roman"/>
          <w:sz w:val="24"/>
          <w:szCs w:val="24"/>
          <w:rtl w:val="0"/>
        </w:rPr>
        <w:t xml:space="preserve">and </w:t>
      </w:r>
      <m:oMath>
        <m:r>
          <w:rPr>
            <w:rFonts w:ascii="Cambria Math" w:cs="Cambria Math" w:eastAsia="Cambria Math" w:hAnsi="Cambria Math"/>
            <w:sz w:val="24"/>
            <w:szCs w:val="24"/>
          </w:rPr>
          <m:t xml:space="preserve">E(</m:t>
        </m:r>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Earnings</m:t>
            </m:r>
          </m:e>
          <m:sub>
            <m:r>
              <w:rPr>
                <w:rFonts w:ascii="Cambria Math" w:cs="Cambria Math" w:eastAsia="Cambria Math" w:hAnsi="Cambria Math"/>
                <w:sz w:val="24"/>
                <w:szCs w:val="24"/>
              </w:rPr>
              <m:t xml:space="preserve">ijt</m:t>
            </m:r>
          </m:sub>
        </m:sSub>
        <m:r>
          <w:rPr>
            <w:rFonts w:ascii="Cambria Math" w:cs="Cambria Math" w:eastAsia="Cambria Math" w:hAnsi="Cambria Math"/>
            <w:sz w:val="24"/>
            <w:szCs w:val="24"/>
          </w:rPr>
          <m:t xml:space="preserve">)</m:t>
        </m:r>
      </m:oMath>
      <w:r w:rsidDel="00000000" w:rsidR="00000000" w:rsidRPr="00000000">
        <w:rPr>
          <w:rFonts w:ascii="Times New Roman" w:cs="Times New Roman" w:eastAsia="Times New Roman" w:hAnsi="Times New Roman"/>
          <w:sz w:val="24"/>
          <w:szCs w:val="24"/>
          <w:rtl w:val="0"/>
        </w:rPr>
        <w:t xml:space="preserve"> denote the predicted earnings of firms </w:t>
      </w:r>
      <m:oMath>
        <m:r>
          <w:rPr>
            <w:rFonts w:ascii="Cambria Math" w:cs="Cambria Math" w:eastAsia="Cambria Math" w:hAnsi="Cambria Math"/>
            <w:sz w:val="24"/>
            <w:szCs w:val="24"/>
          </w:rPr>
          <m:t xml:space="preserve">i</m:t>
        </m:r>
      </m:oMath>
      <w:r w:rsidDel="00000000" w:rsidR="00000000" w:rsidRPr="00000000">
        <w:rPr>
          <w:rFonts w:ascii="Times New Roman" w:cs="Times New Roman" w:eastAsia="Times New Roman" w:hAnsi="Times New Roman"/>
          <w:sz w:val="24"/>
          <w:szCs w:val="24"/>
          <w:rtl w:val="0"/>
        </w:rPr>
        <w:t xml:space="preserve"> and </w:t>
      </w:r>
      <m:oMath>
        <m:r>
          <w:rPr>
            <w:rFonts w:ascii="Cambria Math" w:cs="Cambria Math" w:eastAsia="Cambria Math" w:hAnsi="Cambria Math"/>
            <w:sz w:val="24"/>
            <w:szCs w:val="24"/>
          </w:rPr>
          <m:t xml:space="preserve">j</m:t>
        </m:r>
      </m:oMath>
      <w:r w:rsidDel="00000000" w:rsidR="00000000" w:rsidRPr="00000000">
        <w:rPr>
          <w:rFonts w:ascii="Times New Roman" w:cs="Times New Roman" w:eastAsia="Times New Roman" w:hAnsi="Times New Roman"/>
          <w:sz w:val="24"/>
          <w:szCs w:val="24"/>
          <w:rtl w:val="0"/>
        </w:rPr>
        <w:t xml:space="preserve">, when both firms are evaluated under the same set of economic events. The negative sign ensures that higher values of AcctComp indicate greater accounting comparability, reflecting smaller differences in predicted earnings. </w:t>
      </w:r>
    </w:p>
    <w:p w:rsidR="00000000" w:rsidDel="00000000" w:rsidP="00000000" w:rsidRDefault="00000000" w:rsidRPr="00000000" w14:paraId="00000042">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prior studies, pairwise accounting comparability is aggregated within industry-year to construct a firm-level measure, which captures comparability among firms facing similar economic conditions </w:t>
      </w:r>
      <w:r w:rsidDel="00000000" w:rsidR="00000000" w:rsidRPr="00000000">
        <w:rPr>
          <w:rFonts w:ascii="Times New Roman" w:cs="Times New Roman" w:eastAsia="Times New Roman" w:hAnsi="Times New Roman"/>
          <w:color w:val="000000"/>
          <w:sz w:val="24"/>
          <w:szCs w:val="24"/>
          <w:rtl w:val="0"/>
        </w:rPr>
        <w:t xml:space="preserve">(Francis et al., 2014)</w:t>
      </w:r>
      <w:r w:rsidDel="00000000" w:rsidR="00000000" w:rsidRPr="00000000">
        <w:rPr>
          <w:rFonts w:ascii="Times New Roman" w:cs="Times New Roman" w:eastAsia="Times New Roman" w:hAnsi="Times New Roman"/>
          <w:sz w:val="24"/>
          <w:szCs w:val="24"/>
          <w:rtl w:val="0"/>
        </w:rPr>
        <w:t xml:space="preserve">. Given the objective of examining how shared auditors influence the translation of economic events into accounting outcomes, this study adopts the accounting-function-based comparability measure developed by </w:t>
      </w:r>
      <w:r w:rsidDel="00000000" w:rsidR="00000000" w:rsidRPr="00000000">
        <w:rPr>
          <w:rFonts w:ascii="Times New Roman" w:cs="Times New Roman" w:eastAsia="Times New Roman" w:hAnsi="Times New Roman"/>
          <w:color w:val="000000"/>
          <w:sz w:val="24"/>
          <w:szCs w:val="24"/>
          <w:rtl w:val="0"/>
        </w:rPr>
        <w:t xml:space="preserve">De Franco et al. (2011)</w:t>
      </w:r>
      <w:r w:rsidDel="00000000" w:rsidR="00000000" w:rsidRPr="00000000">
        <w:rPr>
          <w:rFonts w:ascii="Times New Roman" w:cs="Times New Roman" w:eastAsia="Times New Roman" w:hAnsi="Times New Roman"/>
          <w:sz w:val="24"/>
          <w:szCs w:val="24"/>
          <w:rtl w:val="0"/>
        </w:rPr>
        <w:t xml:space="preserve">, which directly reflects similarities in firms’ accounting systems rather than observed reporting outcomes.</w:t>
      </w:r>
    </w:p>
    <w:p w:rsidR="00000000" w:rsidDel="00000000" w:rsidP="00000000" w:rsidRDefault="00000000" w:rsidRPr="00000000" w14:paraId="00000043">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uk5sy5crvosk" w:id="8"/>
      <w:bookmarkEnd w:id="8"/>
      <w:r w:rsidDel="00000000" w:rsidR="00000000" w:rsidRPr="00000000">
        <w:rPr>
          <w:rFonts w:ascii="Times New Roman" w:cs="Times New Roman" w:eastAsia="Times New Roman" w:hAnsi="Times New Roman"/>
          <w:b w:val="1"/>
          <w:bCs w:val="1"/>
          <w:i w:val="1"/>
          <w:iCs w:val="1"/>
          <w:sz w:val="24"/>
          <w:szCs w:val="24"/>
          <w:rtl w:val="0"/>
        </w:rPr>
        <w:t xml:space="preserve">3.3. Sample data</w:t>
      </w:r>
    </w:p>
    <w:p w:rsidR="00000000" w:rsidDel="00000000" w:rsidP="00000000" w:rsidRDefault="00000000" w:rsidRPr="00000000" w14:paraId="0000004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uses a sample of non-financial firms listed on the Ho Chi Minh Stock Exchange (HOSE) and the Hanoi Stock Exchange (HNX) over the period 2010 - 2024 to examine the effect of shared auditors on accounting comparability. Vietnam is the appropriate research setting due to its emerging-market characteristics and rule-based accounting system, where firms applying the same accounting standards may still exhibit heterogeneous accounting outcomes and auditors play an important role in interpreting and enforcing standards </w:t>
      </w:r>
      <w:r w:rsidDel="00000000" w:rsidR="00000000" w:rsidRPr="00000000">
        <w:rPr>
          <w:rFonts w:ascii="Times New Roman" w:cs="Times New Roman" w:eastAsia="Times New Roman" w:hAnsi="Times New Roman"/>
          <w:color w:val="000000"/>
          <w:sz w:val="24"/>
          <w:szCs w:val="24"/>
          <w:rtl w:val="0"/>
        </w:rPr>
        <w:t xml:space="preserve">(DeFond &amp; Zhang, 2014; Soderstrom &amp; Sun, 2007)</w:t>
      </w:r>
      <w:r w:rsidDel="00000000" w:rsidR="00000000" w:rsidRPr="00000000">
        <w:rPr>
          <w:rFonts w:ascii="Times New Roman" w:cs="Times New Roman" w:eastAsia="Times New Roman" w:hAnsi="Times New Roman"/>
          <w:sz w:val="24"/>
          <w:szCs w:val="24"/>
          <w:rtl w:val="0"/>
        </w:rPr>
        <w:t xml:space="preserve">. Financial firms are excluded because they are subject to industry-specific regulations and reporting requirements that may distort accounting comparability measures </w:t>
      </w:r>
      <w:r w:rsidDel="00000000" w:rsidR="00000000" w:rsidRPr="00000000">
        <w:rPr>
          <w:rFonts w:ascii="Times New Roman" w:cs="Times New Roman" w:eastAsia="Times New Roman" w:hAnsi="Times New Roman"/>
          <w:color w:val="000000"/>
          <w:sz w:val="24"/>
          <w:szCs w:val="24"/>
          <w:rtl w:val="0"/>
        </w:rPr>
        <w:t xml:space="preserve">(De Franco et al., 2011)</w:t>
      </w:r>
      <w:r w:rsidDel="00000000" w:rsidR="00000000" w:rsidRPr="00000000">
        <w:rPr>
          <w:rFonts w:ascii="Times New Roman" w:cs="Times New Roman" w:eastAsia="Times New Roman" w:hAnsi="Times New Roman"/>
          <w:sz w:val="24"/>
          <w:szCs w:val="24"/>
          <w:rtl w:val="0"/>
        </w:rPr>
        <w:t xml:space="preserve">. The sample period starts in 2010 to avoid structural distortions related to the early development of Vietnam’s capital market and the global financial crisis </w:t>
      </w:r>
      <w:r w:rsidDel="00000000" w:rsidR="00000000" w:rsidRPr="00000000">
        <w:rPr>
          <w:rFonts w:ascii="Times New Roman" w:cs="Times New Roman" w:eastAsia="Times New Roman" w:hAnsi="Times New Roman"/>
          <w:color w:val="000000"/>
          <w:sz w:val="24"/>
          <w:szCs w:val="24"/>
          <w:rtl w:val="0"/>
        </w:rPr>
        <w:t xml:space="preserve">(Can &amp; Nguyen, 2021)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5">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Firm-level financial statement data and control variables are obtained from FiinPro, while stock price data are collected from CP68. Auditor-related information, including audit firm affiliation and signing auditor identity, is manually collected from annual reports and audited financial statements retrieved from Vietstock and firms’ official websites. </w:t>
      </w:r>
    </w:p>
    <w:p w:rsidR="00000000" w:rsidDel="00000000" w:rsidP="00000000" w:rsidRDefault="00000000" w:rsidRPr="00000000" w14:paraId="00000046">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initial sample consists of 723 listed firms. After excluding financial institutions, the final firm-level sample includes 561 non-financial firms. Observations with missing annual reports, incomplete auditor information, inconsistent stock price data, or missing key financial variables are removed. After merging all data sources and applying data cleaning procedures, the final dataset comprises 536,582 firm-pair-year observations.</w:t>
      </w:r>
    </w:p>
    <w:p w:rsidR="00000000" w:rsidDel="00000000" w:rsidP="00000000" w:rsidRDefault="00000000" w:rsidRPr="00000000" w14:paraId="00000047">
      <w:pPr>
        <w:keepNext w:val="1"/>
        <w:keepLines w:val="1"/>
        <w:tabs>
          <w:tab w:val="left" w:leader="none" w:pos="709"/>
        </w:tabs>
        <w:spacing w:after="120" w:line="288" w:lineRule="auto"/>
        <w:jc w:val="both"/>
        <w:rPr>
          <w:rFonts w:ascii="Times New Roman" w:cs="Times New Roman" w:eastAsia="Times New Roman" w:hAnsi="Times New Roman"/>
          <w:b w:val="1"/>
          <w:bCs w:val="1"/>
          <w:sz w:val="24"/>
          <w:szCs w:val="24"/>
        </w:rPr>
      </w:pPr>
      <w:bookmarkStart w:colFirst="0" w:colLast="0" w:name="_heading=h.o96zevb8zvfg" w:id="9"/>
      <w:bookmarkEnd w:id="9"/>
      <w:r w:rsidDel="00000000" w:rsidR="00000000" w:rsidRPr="00000000">
        <w:rPr>
          <w:rFonts w:ascii="Times New Roman" w:cs="Times New Roman" w:eastAsia="Times New Roman" w:hAnsi="Times New Roman"/>
          <w:b w:val="1"/>
          <w:bCs w:val="1"/>
          <w:sz w:val="24"/>
          <w:szCs w:val="24"/>
          <w:rtl w:val="0"/>
        </w:rPr>
        <w:t xml:space="preserve">4. Results and discussion</w:t>
      </w:r>
    </w:p>
    <w:p w:rsidR="00000000" w:rsidDel="00000000" w:rsidP="00000000" w:rsidRDefault="00000000" w:rsidRPr="00000000" w14:paraId="00000048">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swraz544x7eh" w:id="10"/>
      <w:bookmarkEnd w:id="10"/>
      <w:r w:rsidDel="00000000" w:rsidR="00000000" w:rsidRPr="00000000">
        <w:rPr>
          <w:rFonts w:ascii="Times New Roman" w:cs="Times New Roman" w:eastAsia="Times New Roman" w:hAnsi="Times New Roman"/>
          <w:b w:val="1"/>
          <w:bCs w:val="1"/>
          <w:i w:val="1"/>
          <w:iCs w:val="1"/>
          <w:sz w:val="24"/>
          <w:szCs w:val="24"/>
          <w:rtl w:val="0"/>
        </w:rPr>
        <w:t xml:space="preserve">4.1. Descriptive statistics results</w:t>
      </w:r>
    </w:p>
    <w:p w:rsidR="00000000" w:rsidDel="00000000" w:rsidP="00000000" w:rsidRDefault="00000000" w:rsidRPr="00000000" w14:paraId="0000004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4.1 presents the descriptive statistics for the main variables employed in the regression analysis. The sample comprises 536,582 firm-pair-year observations spanning the period from 2010 to 2024.</w:t>
      </w:r>
    </w:p>
    <w:p w:rsidR="00000000" w:rsidDel="00000000" w:rsidP="00000000" w:rsidRDefault="00000000" w:rsidRPr="00000000" w14:paraId="0000004A">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4.1. Descriptive statistics</w:t>
      </w:r>
    </w:p>
    <w:tbl>
      <w:tblPr>
        <w:tblStyle w:val="Table2"/>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8"/>
        <w:gridCol w:w="1704"/>
        <w:gridCol w:w="1437"/>
        <w:gridCol w:w="1437"/>
        <w:gridCol w:w="1293"/>
        <w:gridCol w:w="1293"/>
        <w:tblGridChange w:id="0">
          <w:tblGrid>
            <w:gridCol w:w="1908"/>
            <w:gridCol w:w="1704"/>
            <w:gridCol w:w="1437"/>
            <w:gridCol w:w="1437"/>
            <w:gridCol w:w="1293"/>
            <w:gridCol w:w="1293"/>
          </w:tblGrid>
        </w:tblGridChange>
      </w:tblGrid>
      <w:tr>
        <w:trPr>
          <w:cantSplit w:val="0"/>
          <w:trHeight w:val="285" w:hRule="atLeast"/>
          <w:tblHeader w:val="1"/>
        </w:trPr>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4B">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Variable names</w:t>
            </w:r>
          </w:p>
        </w:tc>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4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Number of observations</w:t>
            </w:r>
          </w:p>
        </w:tc>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4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Average value</w:t>
            </w:r>
          </w:p>
        </w:tc>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4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Standard deviation</w:t>
            </w:r>
          </w:p>
        </w:tc>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4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Minimum value</w:t>
            </w:r>
          </w:p>
        </w:tc>
        <w:tc>
          <w:tcPr>
            <w:tcBorders>
              <w:top w:color="000000" w:space="0" w:sz="6" w:val="single"/>
              <w:left w:color="000000" w:space="0" w:sz="0" w:val="nil"/>
              <w:bottom w:color="000000" w:space="0" w:sz="4"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Maximum value</w:t>
            </w:r>
          </w:p>
        </w:tc>
      </w:tr>
      <w:tr>
        <w:trPr>
          <w:cantSplit w:val="0"/>
          <w:trHeight w:val="285" w:hRule="atLeast"/>
          <w:tblHeader w:val="0"/>
        </w:trPr>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AcctComp</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-0.03126</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0.03015</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-1.70770</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sameauditor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0.00706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0.08370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samefirm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5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5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0.06280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0.24260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6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1.65532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1.25829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8.75414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6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6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5.79465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1.17067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2.59838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6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11.33121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6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7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0.25689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0.18558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0.99000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7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0.34644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0.19092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0.97000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7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pb_diff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7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1.06419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1.79844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7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28.12000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pb_min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0.81000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0.50578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-3.86000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13.36000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cfo_ratio_diff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0.14263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0.12997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2.21936</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cfo_ratio_min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8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8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-0.01105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0.11199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-0.86602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1.84849</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0.07218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0.07742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0.95550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0.02158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0.05041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-0.62460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9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0.48460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0.58012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2.59132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55.75970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7">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-0.09721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8">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0.27675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-1.04870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42.15180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A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D">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0.60847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E">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0.44597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A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3.36730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3">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2.95741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0.47253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0.69315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6">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4.89784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lnoc_diff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9">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1.04211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A">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0.91944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B">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BC">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13.79289</w:t>
            </w:r>
          </w:p>
        </w:tc>
      </w:tr>
      <w:tr>
        <w:trPr>
          <w:cantSplit w:val="0"/>
          <w:trHeight w:val="285"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lnoc_min</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vAlign w:val="center"/>
          </w:tcPr>
          <w:p w:rsidR="00000000" w:rsidDel="00000000" w:rsidP="00000000" w:rsidRDefault="00000000" w:rsidRPr="00000000" w14:paraId="000000B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0BF">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4.44475</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0C0">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0.84272</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0C1">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0.00000</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0C2">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14.63745</w:t>
            </w:r>
          </w:p>
        </w:tc>
      </w:tr>
    </w:tbl>
    <w:p w:rsidR="00000000" w:rsidDel="00000000" w:rsidP="00000000" w:rsidRDefault="00000000" w:rsidRPr="00000000" w14:paraId="000000C3">
      <w:pPr>
        <w:spacing w:after="120" w:line="288" w:lineRule="auto"/>
        <w:ind w:firstLine="426"/>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Table 4.1 reports the basic descriptive statistics, including the mean, standard deviation, minimum, and maximum values, for all variables used in the regression analyses. The sample consists of 537,636 firm-pair-year observations of non-financial firms listed in Vietnam over the period 2010 - 2024. The dependent variable, AcctComp, measures accounting comparability following </w:t>
      </w:r>
      <w:r w:rsidDel="00000000" w:rsidR="00000000" w:rsidRPr="00000000">
        <w:rPr>
          <w:rFonts w:ascii="Times New Roman" w:cs="Times New Roman" w:eastAsia="Times New Roman" w:hAnsi="Times New Roman"/>
          <w:i w:val="1"/>
          <w:iCs w:val="1"/>
          <w:color w:val="000000"/>
          <w:sz w:val="24"/>
          <w:szCs w:val="24"/>
          <w:rtl w:val="0"/>
        </w:rPr>
        <w:t xml:space="preserve">De Franco et al. (2011)</w:t>
      </w:r>
      <w:r w:rsidDel="00000000" w:rsidR="00000000" w:rsidRPr="00000000">
        <w:rPr>
          <w:rFonts w:ascii="Times New Roman" w:cs="Times New Roman" w:eastAsia="Times New Roman" w:hAnsi="Times New Roman"/>
          <w:i w:val="1"/>
          <w:iCs w:val="1"/>
          <w:sz w:val="24"/>
          <w:szCs w:val="24"/>
          <w:rtl w:val="0"/>
        </w:rPr>
        <w:t xml:space="preserve">. SameFirm and SameAuditor are indicator variables capturing whether a firm pair shares the same audit firm or the same engagement partner, respectively. The remaining variables are control variables that capture differences in financial characteristics between firm pairs.</w:t>
      </w:r>
    </w:p>
    <w:p w:rsidR="00000000" w:rsidDel="00000000" w:rsidP="00000000" w:rsidRDefault="00000000" w:rsidRPr="00000000" w14:paraId="000000C4">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dependent variable, </w:t>
      </w:r>
      <w:r w:rsidDel="00000000" w:rsidR="00000000" w:rsidRPr="00000000">
        <w:rPr>
          <w:rFonts w:ascii="Times New Roman" w:cs="Times New Roman" w:eastAsia="Times New Roman" w:hAnsi="Times New Roman"/>
          <w:i w:val="1"/>
          <w:iCs w:val="1"/>
          <w:sz w:val="24"/>
          <w:szCs w:val="24"/>
          <w:rtl w:val="0"/>
        </w:rPr>
        <w:t xml:space="preserve">AcctComp</w:t>
      </w:r>
      <w:r w:rsidDel="00000000" w:rsidR="00000000" w:rsidRPr="00000000">
        <w:rPr>
          <w:rFonts w:ascii="Times New Roman" w:cs="Times New Roman" w:eastAsia="Times New Roman" w:hAnsi="Times New Roman"/>
          <w:sz w:val="24"/>
          <w:szCs w:val="24"/>
          <w:rtl w:val="0"/>
        </w:rPr>
        <w:t xml:space="preserve">, which proxies for accounting comparability, has a mean value of -0.031 and a standard deviation of 0.030. The negative mean value indicates that, on average, there are divergences in the accounting functions between firm pairs in Vietnam. Regarding the key independent variables, the mean of </w:t>
      </w:r>
      <w:r w:rsidDel="00000000" w:rsidR="00000000" w:rsidRPr="00000000">
        <w:rPr>
          <w:rFonts w:ascii="Times New Roman" w:cs="Times New Roman" w:eastAsia="Times New Roman" w:hAnsi="Times New Roman"/>
          <w:i w:val="1"/>
          <w:iCs w:val="1"/>
          <w:sz w:val="24"/>
          <w:szCs w:val="24"/>
          <w:rtl w:val="0"/>
        </w:rPr>
        <w:t xml:space="preserve">SameFirm</w:t>
      </w:r>
      <w:r w:rsidDel="00000000" w:rsidR="00000000" w:rsidRPr="00000000">
        <w:rPr>
          <w:rFonts w:ascii="Times New Roman" w:cs="Times New Roman" w:eastAsia="Times New Roman" w:hAnsi="Times New Roman"/>
          <w:sz w:val="24"/>
          <w:szCs w:val="24"/>
          <w:rtl w:val="0"/>
        </w:rPr>
        <w:t xml:space="preserve"> is 0.063, suggesting that approximately 6.3% of the firm pairs in the sample are audited by the same audit firm. Meanwhile, </w:t>
      </w:r>
      <w:r w:rsidDel="00000000" w:rsidR="00000000" w:rsidRPr="00000000">
        <w:rPr>
          <w:rFonts w:ascii="Times New Roman" w:cs="Times New Roman" w:eastAsia="Times New Roman" w:hAnsi="Times New Roman"/>
          <w:i w:val="1"/>
          <w:iCs w:val="1"/>
          <w:sz w:val="24"/>
          <w:szCs w:val="24"/>
          <w:rtl w:val="0"/>
        </w:rPr>
        <w:t xml:space="preserve">SameAuditor</w:t>
      </w:r>
      <w:r w:rsidDel="00000000" w:rsidR="00000000" w:rsidRPr="00000000">
        <w:rPr>
          <w:rFonts w:ascii="Times New Roman" w:cs="Times New Roman" w:eastAsia="Times New Roman" w:hAnsi="Times New Roman"/>
          <w:sz w:val="24"/>
          <w:szCs w:val="24"/>
          <w:rtl w:val="0"/>
        </w:rPr>
        <w:t xml:space="preserve"> has a mean of 0.007, reflecting that sharing the specific signing partner is less frequent than sharing the audit firm.</w:t>
      </w:r>
    </w:p>
    <w:p w:rsidR="00000000" w:rsidDel="00000000" w:rsidP="00000000" w:rsidRDefault="00000000" w:rsidRPr="00000000" w14:paraId="000000C5">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control variables capture differences in economic characteristics between firm pairs, including firm size (</w:t>
      </w:r>
      <w:r w:rsidDel="00000000" w:rsidR="00000000" w:rsidRPr="00000000">
        <w:rPr>
          <w:rFonts w:ascii="Times New Roman" w:cs="Times New Roman" w:eastAsia="Times New Roman" w:hAnsi="Times New Roman"/>
          <w:i w:val="1"/>
          <w:iCs w:val="1"/>
          <w:sz w:val="24"/>
          <w:szCs w:val="24"/>
          <w:rtl w:val="0"/>
        </w:rPr>
        <w:t xml:space="preserve">SIZE</w:t>
      </w:r>
      <w:r w:rsidDel="00000000" w:rsidR="00000000" w:rsidRPr="00000000">
        <w:rPr>
          <w:rFonts w:ascii="Times New Roman" w:cs="Times New Roman" w:eastAsia="Times New Roman" w:hAnsi="Times New Roman"/>
          <w:sz w:val="24"/>
          <w:szCs w:val="24"/>
          <w:rtl w:val="0"/>
        </w:rPr>
        <w:t xml:space="preserve">), financial leverage (</w:t>
      </w:r>
      <w:r w:rsidDel="00000000" w:rsidR="00000000" w:rsidRPr="00000000">
        <w:rPr>
          <w:rFonts w:ascii="Times New Roman" w:cs="Times New Roman" w:eastAsia="Times New Roman" w:hAnsi="Times New Roman"/>
          <w:i w:val="1"/>
          <w:iCs w:val="1"/>
          <w:sz w:val="24"/>
          <w:szCs w:val="24"/>
          <w:rtl w:val="0"/>
        </w:rPr>
        <w:t xml:space="preserve">LEV</w:t>
      </w:r>
      <w:r w:rsidDel="00000000" w:rsidR="00000000" w:rsidRPr="00000000">
        <w:rPr>
          <w:rFonts w:ascii="Times New Roman" w:cs="Times New Roman" w:eastAsia="Times New Roman" w:hAnsi="Times New Roman"/>
          <w:sz w:val="24"/>
          <w:szCs w:val="24"/>
          <w:rtl w:val="0"/>
        </w:rPr>
        <w:t xml:space="preserve">), market-to-book ratio (</w:t>
      </w:r>
      <w:r w:rsidDel="00000000" w:rsidR="00000000" w:rsidRPr="00000000">
        <w:rPr>
          <w:rFonts w:ascii="Times New Roman" w:cs="Times New Roman" w:eastAsia="Times New Roman" w:hAnsi="Times New Roman"/>
          <w:i w:val="1"/>
          <w:iCs w:val="1"/>
          <w:sz w:val="24"/>
          <w:szCs w:val="24"/>
          <w:rtl w:val="0"/>
        </w:rPr>
        <w:t xml:space="preserve">PB</w:t>
      </w:r>
      <w:r w:rsidDel="00000000" w:rsidR="00000000" w:rsidRPr="00000000">
        <w:rPr>
          <w:rFonts w:ascii="Times New Roman" w:cs="Times New Roman" w:eastAsia="Times New Roman" w:hAnsi="Times New Roman"/>
          <w:sz w:val="24"/>
          <w:szCs w:val="24"/>
          <w:rtl w:val="0"/>
        </w:rPr>
        <w:t xml:space="preserve">), return on assets (</w:t>
      </w:r>
      <w:r w:rsidDel="00000000" w:rsidR="00000000" w:rsidRPr="00000000">
        <w:rPr>
          <w:rFonts w:ascii="Times New Roman" w:cs="Times New Roman" w:eastAsia="Times New Roman" w:hAnsi="Times New Roman"/>
          <w:i w:val="1"/>
          <w:iCs w:val="1"/>
          <w:sz w:val="24"/>
          <w:szCs w:val="24"/>
          <w:rtl w:val="0"/>
        </w:rPr>
        <w:t xml:space="preserve">ROA</w:t>
      </w:r>
      <w:r w:rsidDel="00000000" w:rsidR="00000000" w:rsidRPr="00000000">
        <w:rPr>
          <w:rFonts w:ascii="Times New Roman" w:cs="Times New Roman" w:eastAsia="Times New Roman" w:hAnsi="Times New Roman"/>
          <w:sz w:val="24"/>
          <w:szCs w:val="24"/>
          <w:rtl w:val="0"/>
        </w:rPr>
        <w:t xml:space="preserve">), operating cash flow (</w:t>
      </w:r>
      <w:r w:rsidDel="00000000" w:rsidR="00000000" w:rsidRPr="00000000">
        <w:rPr>
          <w:rFonts w:ascii="Times New Roman" w:cs="Times New Roman" w:eastAsia="Times New Roman" w:hAnsi="Times New Roman"/>
          <w:i w:val="1"/>
          <w:iCs w:val="1"/>
          <w:sz w:val="24"/>
          <w:szCs w:val="24"/>
          <w:rtl w:val="0"/>
        </w:rPr>
        <w:t xml:space="preserve">CFO</w:t>
      </w:r>
      <w:r w:rsidDel="00000000" w:rsidR="00000000" w:rsidRPr="00000000">
        <w:rPr>
          <w:rFonts w:ascii="Times New Roman" w:cs="Times New Roman" w:eastAsia="Times New Roman" w:hAnsi="Times New Roman"/>
          <w:sz w:val="24"/>
          <w:szCs w:val="24"/>
          <w:rtl w:val="0"/>
        </w:rPr>
        <w:t xml:space="preserve">), sales growth (</w:t>
      </w:r>
      <w:r w:rsidDel="00000000" w:rsidR="00000000" w:rsidRPr="00000000">
        <w:rPr>
          <w:rFonts w:ascii="Times New Roman" w:cs="Times New Roman" w:eastAsia="Times New Roman" w:hAnsi="Times New Roman"/>
          <w:i w:val="1"/>
          <w:iCs w:val="1"/>
          <w:sz w:val="24"/>
          <w:szCs w:val="24"/>
          <w:rtl w:val="0"/>
        </w:rPr>
        <w:t xml:space="preserve">GROWTH</w:t>
      </w:r>
      <w:r w:rsidDel="00000000" w:rsidR="00000000" w:rsidRPr="00000000">
        <w:rPr>
          <w:rFonts w:ascii="Times New Roman" w:cs="Times New Roman" w:eastAsia="Times New Roman" w:hAnsi="Times New Roman"/>
          <w:sz w:val="24"/>
          <w:szCs w:val="24"/>
          <w:rtl w:val="0"/>
        </w:rPr>
        <w:t xml:space="preserve">), firm age (</w:t>
      </w:r>
      <w:r w:rsidDel="00000000" w:rsidR="00000000" w:rsidRPr="00000000">
        <w:rPr>
          <w:rFonts w:ascii="Times New Roman" w:cs="Times New Roman" w:eastAsia="Times New Roman" w:hAnsi="Times New Roman"/>
          <w:i w:val="1"/>
          <w:iCs w:val="1"/>
          <w:sz w:val="24"/>
          <w:szCs w:val="24"/>
          <w:rtl w:val="0"/>
        </w:rPr>
        <w:t xml:space="preserve">AGE</w:t>
      </w:r>
      <w:r w:rsidDel="00000000" w:rsidR="00000000" w:rsidRPr="00000000">
        <w:rPr>
          <w:rFonts w:ascii="Times New Roman" w:cs="Times New Roman" w:eastAsia="Times New Roman" w:hAnsi="Times New Roman"/>
          <w:sz w:val="24"/>
          <w:szCs w:val="24"/>
          <w:rtl w:val="0"/>
        </w:rPr>
        <w:t xml:space="preserve">), and operating cycle (</w:t>
      </w:r>
      <w:r w:rsidDel="00000000" w:rsidR="00000000" w:rsidRPr="00000000">
        <w:rPr>
          <w:rFonts w:ascii="Times New Roman" w:cs="Times New Roman" w:eastAsia="Times New Roman" w:hAnsi="Times New Roman"/>
          <w:i w:val="1"/>
          <w:iCs w:val="1"/>
          <w:sz w:val="24"/>
          <w:szCs w:val="24"/>
          <w:rtl w:val="0"/>
        </w:rPr>
        <w:t xml:space="preserve">LNOC</w:t>
      </w:r>
      <w:r w:rsidDel="00000000" w:rsidR="00000000" w:rsidRPr="00000000">
        <w:rPr>
          <w:rFonts w:ascii="Times New Roman" w:cs="Times New Roman" w:eastAsia="Times New Roman" w:hAnsi="Times New Roman"/>
          <w:sz w:val="24"/>
          <w:szCs w:val="24"/>
          <w:rtl w:val="0"/>
        </w:rPr>
        <w:t xml:space="preserve">). These variables exhibit considerable variation, ensuring that the regression models account for the heterogeneity in firms’ fundamental economic drivers. Overall, the descriptive statistics do not indicate abnormal values that could undermine the validity of the empirical estimations.</w:t>
      </w:r>
    </w:p>
    <w:p w:rsidR="00000000" w:rsidDel="00000000" w:rsidP="00000000" w:rsidRDefault="00000000" w:rsidRPr="00000000" w14:paraId="000000C6">
      <w:pPr>
        <w:keepNext w:val="1"/>
        <w:keepLines w:val="1"/>
        <w:spacing w:after="120" w:line="288" w:lineRule="auto"/>
        <w:jc w:val="both"/>
        <w:rPr>
          <w:rFonts w:ascii="Times New Roman" w:cs="Times New Roman" w:eastAsia="Times New Roman" w:hAnsi="Times New Roman"/>
          <w:b w:val="1"/>
          <w:bCs w:val="1"/>
          <w:i w:val="1"/>
          <w:iCs w:val="1"/>
          <w:sz w:val="24"/>
          <w:szCs w:val="24"/>
        </w:rPr>
      </w:pPr>
      <w:bookmarkStart w:colFirst="0" w:colLast="0" w:name="_heading=h.qw2qx8xhrou1" w:id="11"/>
      <w:bookmarkEnd w:id="11"/>
      <w:r w:rsidDel="00000000" w:rsidR="00000000" w:rsidRPr="00000000">
        <w:rPr>
          <w:rFonts w:ascii="Times New Roman" w:cs="Times New Roman" w:eastAsia="Times New Roman" w:hAnsi="Times New Roman"/>
          <w:b w:val="1"/>
          <w:bCs w:val="1"/>
          <w:i w:val="1"/>
          <w:iCs w:val="1"/>
          <w:sz w:val="24"/>
          <w:szCs w:val="24"/>
          <w:rtl w:val="0"/>
        </w:rPr>
        <w:t xml:space="preserve">4.2. </w:t>
        <w:tab/>
        <w:t xml:space="preserve">Regression results</w:t>
      </w:r>
    </w:p>
    <w:p w:rsidR="00000000" w:rsidDel="00000000" w:rsidP="00000000" w:rsidRDefault="00000000" w:rsidRPr="00000000" w14:paraId="000000C7">
      <w:pPr>
        <w:spacing w:after="120" w:line="288"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test the hypothesis H1 that shared auditors enhance accounting comparability, the study estimates equation (3.1) using the High-Dimensional Fixed Effects (HDFE) estimator. The models control for firm-pair characteristics and include both industry and year fixed effects to absorb unobserved heterogeneity. Standard errors are clustered at the firm-pair level. Table 4.2 reports the regression results.</w:t>
      </w:r>
    </w:p>
    <w:p w:rsidR="00000000" w:rsidDel="00000000" w:rsidP="00000000" w:rsidRDefault="00000000" w:rsidRPr="00000000" w14:paraId="000000C8">
      <w:pPr>
        <w:spacing w:after="120" w:line="288"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Table 4.2: The impact of shared auditors on accounting comparability</w:t>
      </w:r>
    </w:p>
    <w:tbl>
      <w:tblPr>
        <w:tblStyle w:val="Table3"/>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599"/>
        <w:gridCol w:w="3118"/>
        <w:tblGridChange w:id="0">
          <w:tblGrid>
            <w:gridCol w:w="2355"/>
            <w:gridCol w:w="3599"/>
            <w:gridCol w:w="3118"/>
          </w:tblGrid>
        </w:tblGridChange>
      </w:tblGrid>
      <w:tr>
        <w:trPr>
          <w:cantSplit w:val="0"/>
          <w:trHeight w:val="53" w:hRule="atLeast"/>
          <w:tblHeader w:val="1"/>
        </w:trPr>
        <w:tc>
          <w:tcPr>
            <w:tcBorders>
              <w:top w:color="000000" w:space="0" w:sz="6"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C9">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6"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C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6"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C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285" w:hRule="atLeast"/>
          <w:tblHeader w:val="1"/>
        </w:trPr>
        <w:tc>
          <w:tcPr>
            <w:tcBorders>
              <w:top w:color="000000" w:space="0" w:sz="0" w:val="nil"/>
              <w:left w:color="000000" w:space="0" w:sz="0" w:val="nil"/>
              <w:bottom w:color="000000" w:space="0" w:sz="4" w:val="single"/>
              <w:right w:color="000000" w:space="0" w:sz="0" w:val="nil"/>
            </w:tcBorders>
            <w:tcMar>
              <w:top w:w="0.0" w:type="dxa"/>
              <w:left w:w="100.0" w:type="dxa"/>
              <w:bottom w:w="0.0" w:type="dxa"/>
              <w:right w:w="100.0" w:type="dxa"/>
            </w:tcMar>
          </w:tcPr>
          <w:p w:rsidR="00000000" w:rsidDel="00000000" w:rsidP="00000000" w:rsidRDefault="00000000" w:rsidRPr="00000000" w14:paraId="000000CC">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4" w:val="single"/>
              <w:right w:color="000000" w:space="0" w:sz="0" w:val="nil"/>
            </w:tcBorders>
            <w:tcMar>
              <w:top w:w="0.0" w:type="dxa"/>
              <w:left w:w="100.0" w:type="dxa"/>
              <w:bottom w:w="0.0" w:type="dxa"/>
              <w:right w:w="100.0" w:type="dxa"/>
            </w:tcMar>
          </w:tcPr>
          <w:p w:rsidR="00000000" w:rsidDel="00000000" w:rsidP="00000000" w:rsidRDefault="00000000" w:rsidRPr="00000000" w14:paraId="000000C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Audit firm level</w:t>
            </w:r>
          </w:p>
        </w:tc>
        <w:tc>
          <w:tcPr>
            <w:tcBorders>
              <w:top w:color="000000" w:space="0" w:sz="0" w:val="nil"/>
              <w:left w:color="000000" w:space="0" w:sz="0" w:val="nil"/>
              <w:bottom w:color="000000" w:space="0" w:sz="4" w:val="single"/>
              <w:right w:color="000000" w:space="0" w:sz="0" w:val="nil"/>
            </w:tcBorders>
            <w:tcMar>
              <w:top w:w="0.0" w:type="dxa"/>
              <w:left w:w="100.0" w:type="dxa"/>
              <w:bottom w:w="0.0" w:type="dxa"/>
              <w:right w:w="100.0" w:type="dxa"/>
            </w:tcMar>
          </w:tcPr>
          <w:p w:rsidR="00000000" w:rsidDel="00000000" w:rsidP="00000000" w:rsidRDefault="00000000" w:rsidRPr="00000000" w14:paraId="000000C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Audit partner level</w:t>
            </w:r>
          </w:p>
        </w:tc>
      </w:tr>
      <w:tr>
        <w:trPr>
          <w:cantSplit w:val="0"/>
          <w:trHeight w:val="162" w:hRule="atLeast"/>
          <w:tblHeader w:val="0"/>
        </w:trPr>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samefirm</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0">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0.00052</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4" w:val="single"/>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(1.99791)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sameauditor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0.00054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(0.79970)</w:t>
            </w:r>
          </w:p>
        </w:tc>
      </w:tr>
      <w:tr>
        <w:trPr>
          <w:cantSplit w:val="0"/>
          <w:trHeight w:val="68"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C">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0.00016</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D">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0.00016</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D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(2.20810)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(2.17737)</w:t>
            </w:r>
          </w:p>
        </w:tc>
      </w:tr>
      <w:tr>
        <w:trPr>
          <w:cantSplit w:val="0"/>
          <w:trHeight w:val="99"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size_min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2">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0.00024</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3">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0.00024</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(2.76880)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(2.81579)</w:t>
            </w:r>
          </w:p>
        </w:tc>
      </w:tr>
      <w:tr>
        <w:trPr>
          <w:cantSplit w:val="0"/>
          <w:trHeight w:val="68"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8">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-0.00594</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9">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-0.00595</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(-11.44934)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(-11.46742)</w:t>
            </w:r>
          </w:p>
        </w:tc>
      </w:tr>
      <w:tr>
        <w:trPr>
          <w:cantSplit w:val="0"/>
          <w:trHeight w:val="68"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E">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-0.01401</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EF">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-0.01402</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(-23.56310)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(-23.57133)</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pb_diff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4">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-0.00022</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5">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-0.00022</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68"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(-5.74700)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(-5.75528)</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pb_min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A">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0.00157</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B">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0.00157</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(9.14084)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(9.15829)</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0F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cfo_ratio_diff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0">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-0.00333</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1">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-0.00334</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(-7.09706)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(-7.12225)</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cfo_ratio_min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6">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0.00319</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7">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0.00320</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(6.33899)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(6.36312)</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C">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-0.02577</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D">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-0.02578</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0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(-21.31566)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(-21.33327)</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roa_min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2">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0.07910</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3">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0.07910</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(49.86168)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(49.85970)</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8">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-0.00043</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9">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-0.00043</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(-23.65779)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C">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(-23.66096)</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1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0.00004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(0.24524)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(0.23747)</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4">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0.00147</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5">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0.00146</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(5.55510)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(5.54126)</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A">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0.00471</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B">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0.00471</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(18.96413)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E">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(18.95818)</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lnoc_diff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0">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-0.00293</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1">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-0.00293</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(-22.38922)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(-22.40052)</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lnoc_min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6">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-0.00300</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7">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-0.00300</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(-20.71296)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(-20.71847)</w:t>
            </w:r>
          </w:p>
        </w:tc>
      </w:tr>
      <w:tr>
        <w:trPr>
          <w:cantSplit w:val="0"/>
          <w:trHeight w:val="33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Constant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C">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-0.02519</w:t>
            </w:r>
            <w:r w:rsidDel="00000000" w:rsidR="00000000" w:rsidRPr="00000000">
              <w:rPr>
                <w:rFonts w:ascii="Times New Roman" w:cs="Times New Roman" w:eastAsia="Times New Roman" w:hAnsi="Times New Roman"/>
                <w:sz w:val="24"/>
                <w:szCs w:val="24"/>
                <w:vertAlign w:val="superscript"/>
                <w:rtl w:val="0"/>
              </w:rPr>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3D">
            <w:pPr>
              <w:spacing w:line="240"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-0.02516</w:t>
            </w:r>
            <w:r w:rsidDel="00000000" w:rsidR="00000000" w:rsidRPr="00000000">
              <w:rPr>
                <w:rFonts w:ascii="Times New Roman" w:cs="Times New Roman" w:eastAsia="Times New Roman" w:hAnsi="Times New Roman"/>
                <w:sz w:val="24"/>
                <w:szCs w:val="24"/>
                <w:vertAlign w:val="superscript"/>
                <w:rtl w:val="0"/>
              </w:rPr>
              <w:t xml:space="preserve">***</w:t>
            </w:r>
          </w:p>
        </w:tc>
      </w:tr>
      <w:tr>
        <w:trPr>
          <w:cantSplit w:val="0"/>
          <w:trHeight w:val="68"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3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3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(-22.92069)</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4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(-22.89026)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4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Observations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4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tcPr>
          <w:p w:rsidR="00000000" w:rsidDel="00000000" w:rsidP="00000000" w:rsidRDefault="00000000" w:rsidRPr="00000000" w14:paraId="0000014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536,582</w:t>
            </w:r>
          </w:p>
        </w:tc>
      </w:tr>
      <w:tr>
        <w:trPr>
          <w:cantSplit w:val="0"/>
          <w:trHeight w:val="285" w:hRule="atLeast"/>
          <w:tblHeader w:val="0"/>
        </w:trPr>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44">
            <w:pPr>
              <w:spacing w:line="240" w:lineRule="auto"/>
              <w:jc w:val="both"/>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Adjusted R</w:t>
            </w:r>
            <w:r w:rsidDel="00000000" w:rsidR="00000000" w:rsidRPr="00000000">
              <w:rPr>
                <w:rFonts w:ascii="Times New Roman" w:cs="Times New Roman" w:eastAsia="Times New Roman" w:hAnsi="Times New Roman"/>
                <w:sz w:val="24"/>
                <w:szCs w:val="24"/>
                <w:vertAlign w:val="superscript"/>
                <w:rtl w:val="0"/>
              </w:rPr>
              <w:t xml:space="preserve">2</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4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0.10205</w:t>
            </w:r>
          </w:p>
        </w:tc>
        <w:tc>
          <w:tcPr>
            <w:tcBorders>
              <w:top w:color="000000" w:space="0" w:sz="0" w:val="nil"/>
              <w:left w:color="000000" w:space="0" w:sz="0" w:val="nil"/>
              <w:bottom w:color="000000" w:space="0" w:sz="5" w:val="single"/>
              <w:right w:color="000000" w:space="0" w:sz="0" w:val="nil"/>
            </w:tcBorders>
            <w:tcMar>
              <w:top w:w="0.0" w:type="dxa"/>
              <w:left w:w="100.0" w:type="dxa"/>
              <w:bottom w:w="0.0" w:type="dxa"/>
              <w:right w:w="100.0" w:type="dxa"/>
            </w:tcMar>
          </w:tcPr>
          <w:p w:rsidR="00000000" w:rsidDel="00000000" w:rsidP="00000000" w:rsidRDefault="00000000" w:rsidRPr="00000000" w14:paraId="0000014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0.10203</w:t>
            </w:r>
          </w:p>
        </w:tc>
      </w:tr>
    </w:tbl>
    <w:p w:rsidR="00000000" w:rsidDel="00000000" w:rsidP="00000000" w:rsidRDefault="00000000" w:rsidRPr="00000000" w14:paraId="00000147">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Table 4.2 presents the results of multivariate regression estimations using the high-dimensional fixed effects (HDFE) approach to test Hypothesis H1. The dependent variable is AcctComp, which measures accounting comparability following </w:t>
      </w:r>
      <w:r w:rsidDel="00000000" w:rsidR="00000000" w:rsidRPr="00000000">
        <w:rPr>
          <w:rFonts w:ascii="Times New Roman" w:cs="Times New Roman" w:eastAsia="Times New Roman" w:hAnsi="Times New Roman"/>
          <w:i w:val="1"/>
          <w:iCs w:val="1"/>
          <w:color w:val="000000"/>
          <w:sz w:val="24"/>
          <w:szCs w:val="24"/>
          <w:rtl w:val="0"/>
        </w:rPr>
        <w:t xml:space="preserve">De Franco et al. (2011)</w:t>
      </w:r>
      <w:r w:rsidDel="00000000" w:rsidR="00000000" w:rsidRPr="00000000">
        <w:rPr>
          <w:rFonts w:ascii="Times New Roman" w:cs="Times New Roman" w:eastAsia="Times New Roman" w:hAnsi="Times New Roman"/>
          <w:i w:val="1"/>
          <w:iCs w:val="1"/>
          <w:sz w:val="24"/>
          <w:szCs w:val="24"/>
          <w:rtl w:val="0"/>
        </w:rPr>
        <w:t xml:space="preserve">, where higher values (closer to zero) indicate greater comparability. The key independent variables are SameFirm, an indicator equal to one if a firm pair is audited by the same audit firm, and SameAuditor, an indicator equal to one if a firm pair shares the same engagement partner. Standard errors are clustered at the firm-pair level. *, **, and *** denote statistical significance at the 10%, 5%, and 1% levels, respectively.</w:t>
      </w:r>
      <w:r w:rsidDel="00000000" w:rsidR="00000000" w:rsidRPr="00000000">
        <w:rPr>
          <w:rtl w:val="0"/>
        </w:rPr>
      </w:r>
    </w:p>
    <w:p w:rsidR="00000000" w:rsidDel="00000000" w:rsidP="00000000" w:rsidRDefault="00000000" w:rsidRPr="00000000" w14:paraId="00000148">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shown in Column (1), the coefficient of </w:t>
      </w:r>
      <w:r w:rsidDel="00000000" w:rsidR="00000000" w:rsidRPr="00000000">
        <w:rPr>
          <w:rFonts w:ascii="Times New Roman" w:cs="Times New Roman" w:eastAsia="Times New Roman" w:hAnsi="Times New Roman"/>
          <w:i w:val="1"/>
          <w:iCs w:val="1"/>
          <w:sz w:val="24"/>
          <w:szCs w:val="24"/>
          <w:rtl w:val="0"/>
        </w:rPr>
        <w:t xml:space="preserve">SameFirm</w:t>
      </w:r>
      <w:r w:rsidDel="00000000" w:rsidR="00000000" w:rsidRPr="00000000">
        <w:rPr>
          <w:rFonts w:ascii="Times New Roman" w:cs="Times New Roman" w:eastAsia="Times New Roman" w:hAnsi="Times New Roman"/>
          <w:sz w:val="24"/>
          <w:szCs w:val="24"/>
          <w:rtl w:val="0"/>
        </w:rPr>
        <w:t xml:space="preserve"> is positive (0.001) and statistically significant at the 5% level (t-statistic = 1.962). This result supports the research hypothesis H1, indicating that firm pairs audited by the same audit firm exhibit significantly higher accounting comparability than those audited by different firms.</w:t>
      </w:r>
    </w:p>
    <w:p w:rsidR="00000000" w:rsidDel="00000000" w:rsidP="00000000" w:rsidRDefault="00000000" w:rsidRPr="00000000" w14:paraId="00000149">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finding is consistent with the audit style theory proposed by </w:t>
      </w:r>
      <w:r w:rsidDel="00000000" w:rsidR="00000000" w:rsidRPr="00000000">
        <w:rPr>
          <w:rFonts w:ascii="Times New Roman" w:cs="Times New Roman" w:eastAsia="Times New Roman" w:hAnsi="Times New Roman"/>
          <w:color w:val="000000"/>
          <w:sz w:val="24"/>
          <w:szCs w:val="24"/>
          <w:rtl w:val="0"/>
        </w:rPr>
        <w:t xml:space="preserve">Francis et al. (2014)</w:t>
      </w:r>
      <w:r w:rsidDel="00000000" w:rsidR="00000000" w:rsidRPr="00000000">
        <w:rPr>
          <w:rFonts w:ascii="Times New Roman" w:cs="Times New Roman" w:eastAsia="Times New Roman" w:hAnsi="Times New Roman"/>
          <w:sz w:val="24"/>
          <w:szCs w:val="24"/>
          <w:rtl w:val="0"/>
        </w:rPr>
        <w:t xml:space="preserve">, which posits that audit firms develop distinct sets of internal working rules and methodologies. When two firms share the same auditor, they are subject to these standardized audit procedures, which act as a mechanism to synchronize accounting practices across clients </w:t>
      </w:r>
      <w:r w:rsidDel="00000000" w:rsidR="00000000" w:rsidRPr="00000000">
        <w:rPr>
          <w:rFonts w:ascii="Times New Roman" w:cs="Times New Roman" w:eastAsia="Times New Roman" w:hAnsi="Times New Roman"/>
          <w:color w:val="000000"/>
          <w:sz w:val="24"/>
          <w:szCs w:val="24"/>
          <w:rtl w:val="0"/>
        </w:rPr>
        <w:t xml:space="preserve">(Tian et al., 2025)</w:t>
      </w:r>
      <w:r w:rsidDel="00000000" w:rsidR="00000000" w:rsidRPr="00000000">
        <w:rPr>
          <w:rFonts w:ascii="Times New Roman" w:cs="Times New Roman" w:eastAsia="Times New Roman" w:hAnsi="Times New Roman"/>
          <w:sz w:val="24"/>
          <w:szCs w:val="24"/>
          <w:rtl w:val="0"/>
        </w:rPr>
        <w:t xml:space="preserve">. Specifically, audit firms utilize common training programs, proprietary audit manuals, and centralized quality control systems to interpret accounting standards. These institutional mechanisms constrain managerial discretion and reduce the diversity in accounting choices </w:t>
      </w:r>
      <w:r w:rsidDel="00000000" w:rsidR="00000000" w:rsidRPr="00000000">
        <w:rPr>
          <w:rFonts w:ascii="Times New Roman" w:cs="Times New Roman" w:eastAsia="Times New Roman" w:hAnsi="Times New Roman"/>
          <w:color w:val="000000"/>
          <w:sz w:val="24"/>
          <w:szCs w:val="24"/>
          <w:rtl w:val="0"/>
        </w:rPr>
        <w:t xml:space="preserve">(DeFond &amp; Zhang, 2014)</w:t>
      </w:r>
      <w:r w:rsidDel="00000000" w:rsidR="00000000" w:rsidRPr="00000000">
        <w:rPr>
          <w:rFonts w:ascii="Times New Roman" w:cs="Times New Roman" w:eastAsia="Times New Roman" w:hAnsi="Times New Roman"/>
          <w:sz w:val="24"/>
          <w:szCs w:val="24"/>
          <w:rtl w:val="0"/>
        </w:rPr>
        <w:t xml:space="preserve">. Consequently, firms sharing the same audit firm are more likely to map similar economic events into comparable reported earnings </w:t>
      </w:r>
      <w:r w:rsidDel="00000000" w:rsidR="00000000" w:rsidRPr="00000000">
        <w:rPr>
          <w:rFonts w:ascii="Times New Roman" w:cs="Times New Roman" w:eastAsia="Times New Roman" w:hAnsi="Times New Roman"/>
          <w:color w:val="000000"/>
          <w:sz w:val="24"/>
          <w:szCs w:val="24"/>
          <w:rtl w:val="0"/>
        </w:rPr>
        <w:t xml:space="preserve">(De Franco et al., 2011)</w:t>
      </w:r>
      <w:r w:rsidDel="00000000" w:rsidR="00000000" w:rsidRPr="00000000">
        <w:rPr>
          <w:rFonts w:ascii="Times New Roman" w:cs="Times New Roman" w:eastAsia="Times New Roman" w:hAnsi="Times New Roman"/>
          <w:sz w:val="24"/>
          <w:szCs w:val="24"/>
          <w:rtl w:val="0"/>
        </w:rPr>
        <w:t xml:space="preserve">. This evidence extends prior findings from developed markets, such as the United States </w:t>
      </w:r>
      <w:r w:rsidDel="00000000" w:rsidR="00000000" w:rsidRPr="00000000">
        <w:rPr>
          <w:rFonts w:ascii="Times New Roman" w:cs="Times New Roman" w:eastAsia="Times New Roman" w:hAnsi="Times New Roman"/>
          <w:color w:val="000000"/>
          <w:sz w:val="24"/>
          <w:szCs w:val="24"/>
          <w:rtl w:val="0"/>
        </w:rPr>
        <w:t xml:space="preserve">(Francis et al., 2014)</w:t>
      </w:r>
      <w:r w:rsidDel="00000000" w:rsidR="00000000" w:rsidRPr="00000000">
        <w:rPr>
          <w:rFonts w:ascii="Times New Roman" w:cs="Times New Roman" w:eastAsia="Times New Roman" w:hAnsi="Times New Roman"/>
          <w:sz w:val="24"/>
          <w:szCs w:val="24"/>
          <w:rtl w:val="0"/>
        </w:rPr>
        <w:t xml:space="preserve">, and other emerging economies, including South Africa </w:t>
      </w:r>
      <w:r w:rsidDel="00000000" w:rsidR="00000000" w:rsidRPr="00000000">
        <w:rPr>
          <w:rFonts w:ascii="Times New Roman" w:cs="Times New Roman" w:eastAsia="Times New Roman" w:hAnsi="Times New Roman"/>
          <w:color w:val="000000"/>
          <w:sz w:val="24"/>
          <w:szCs w:val="24"/>
          <w:rtl w:val="0"/>
        </w:rPr>
        <w:t xml:space="preserve">(Smith, 2022)</w:t>
      </w:r>
      <w:r w:rsidDel="00000000" w:rsidR="00000000" w:rsidRPr="00000000">
        <w:rPr>
          <w:rFonts w:ascii="Times New Roman" w:cs="Times New Roman" w:eastAsia="Times New Roman" w:hAnsi="Times New Roman"/>
          <w:sz w:val="24"/>
          <w:szCs w:val="24"/>
          <w:rtl w:val="0"/>
        </w:rPr>
        <w:t xml:space="preserve">, to the Vietnamese context. The result underscores the role of audit firms as effective standardization agents in emerging markets characterized by evolving regulatory enforcement.</w:t>
      </w:r>
    </w:p>
    <w:p w:rsidR="00000000" w:rsidDel="00000000" w:rsidP="00000000" w:rsidRDefault="00000000" w:rsidRPr="00000000" w14:paraId="0000014A">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contrast, Column (2) reports the results for the audit partner level. The coefficient of </w:t>
      </w:r>
      <w:r w:rsidDel="00000000" w:rsidR="00000000" w:rsidRPr="00000000">
        <w:rPr>
          <w:rFonts w:ascii="Times New Roman" w:cs="Times New Roman" w:eastAsia="Times New Roman" w:hAnsi="Times New Roman"/>
          <w:i w:val="1"/>
          <w:iCs w:val="1"/>
          <w:sz w:val="24"/>
          <w:szCs w:val="24"/>
          <w:rtl w:val="0"/>
        </w:rPr>
        <w:t xml:space="preserve">SameAuditor</w:t>
      </w:r>
      <w:r w:rsidDel="00000000" w:rsidR="00000000" w:rsidRPr="00000000">
        <w:rPr>
          <w:rFonts w:ascii="Times New Roman" w:cs="Times New Roman" w:eastAsia="Times New Roman" w:hAnsi="Times New Roman"/>
          <w:sz w:val="24"/>
          <w:szCs w:val="24"/>
          <w:rtl w:val="0"/>
        </w:rPr>
        <w:t xml:space="preserve"> is positive (0.000) but statistically insignificant (t-statistic = 0.738). This result does not support the initial expectation that sharing individual engagement partners would enhance comparability beyond the audit firm effect. This finding departs from prior evidence documented in developed markets, where individual audit partners are shown to exert distinct reporting styles that promote greater alignment in clients’ financial statements </w:t>
      </w:r>
      <w:r w:rsidDel="00000000" w:rsidR="00000000" w:rsidRPr="00000000">
        <w:rPr>
          <w:rFonts w:ascii="Times New Roman" w:cs="Times New Roman" w:eastAsia="Times New Roman" w:hAnsi="Times New Roman"/>
          <w:color w:val="000000"/>
          <w:sz w:val="24"/>
          <w:szCs w:val="24"/>
          <w:rtl w:val="0"/>
        </w:rPr>
        <w:t xml:space="preserve">(Chen et al., 2020)</w:t>
      </w:r>
      <w:r w:rsidDel="00000000" w:rsidR="00000000" w:rsidRPr="00000000">
        <w:rPr>
          <w:rFonts w:ascii="Times New Roman" w:cs="Times New Roman" w:eastAsia="Times New Roman" w:hAnsi="Times New Roman"/>
          <w:sz w:val="24"/>
          <w:szCs w:val="24"/>
          <w:rtl w:val="0"/>
        </w:rPr>
        <w:t xml:space="preserve">. In the Vietnamese context, however, the presence of a shared engagement partner alone appears insufficient to generate more comparable accounting outcomes.</w:t>
      </w:r>
    </w:p>
    <w:p w:rsidR="00000000" w:rsidDel="00000000" w:rsidP="00000000" w:rsidRDefault="00000000" w:rsidRPr="00000000" w14:paraId="0000014B">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insignificance can be explained by the alternative perspective that auditor influence depends critically on how consistently professional judgment is exercised </w:t>
      </w:r>
      <w:r w:rsidDel="00000000" w:rsidR="00000000" w:rsidRPr="00000000">
        <w:rPr>
          <w:rFonts w:ascii="Times New Roman" w:cs="Times New Roman" w:eastAsia="Times New Roman" w:hAnsi="Times New Roman"/>
          <w:color w:val="000000"/>
          <w:sz w:val="24"/>
          <w:szCs w:val="24"/>
          <w:rtl w:val="0"/>
        </w:rPr>
        <w:t xml:space="preserve">(DeFond &amp; Zhang, 2014)</w:t>
      </w:r>
      <w:r w:rsidDel="00000000" w:rsidR="00000000" w:rsidRPr="00000000">
        <w:rPr>
          <w:rFonts w:ascii="Times New Roman" w:cs="Times New Roman" w:eastAsia="Times New Roman" w:hAnsi="Times New Roman"/>
          <w:sz w:val="24"/>
          <w:szCs w:val="24"/>
          <w:rtl w:val="0"/>
        </w:rPr>
        <w:t xml:space="preserve">. Although audit firms promote standardized rules, individual auditors retain discretion in interpreting accounting standards </w:t>
      </w:r>
      <w:r w:rsidDel="00000000" w:rsidR="00000000" w:rsidRPr="00000000">
        <w:rPr>
          <w:rFonts w:ascii="Times New Roman" w:cs="Times New Roman" w:eastAsia="Times New Roman" w:hAnsi="Times New Roman"/>
          <w:color w:val="000000"/>
          <w:sz w:val="24"/>
          <w:szCs w:val="24"/>
          <w:rtl w:val="0"/>
        </w:rPr>
        <w:t xml:space="preserve">(Francis et al., 2014)</w:t>
      </w:r>
      <w:r w:rsidDel="00000000" w:rsidR="00000000" w:rsidRPr="00000000">
        <w:rPr>
          <w:rFonts w:ascii="Times New Roman" w:cs="Times New Roman" w:eastAsia="Times New Roman" w:hAnsi="Times New Roman"/>
          <w:sz w:val="24"/>
          <w:szCs w:val="24"/>
          <w:rtl w:val="0"/>
        </w:rPr>
        <w:t xml:space="preserve">. Recent evidence suggests that this discretion can act as a double-edged sword: when auditors deviate from firm-wide practices and rely on idiosyncratic judgment styles, they may introduce variation rather than consistency. As noted by </w:t>
      </w:r>
      <w:r w:rsidDel="00000000" w:rsidR="00000000" w:rsidRPr="00000000">
        <w:rPr>
          <w:rFonts w:ascii="Times New Roman" w:cs="Times New Roman" w:eastAsia="Times New Roman" w:hAnsi="Times New Roman"/>
          <w:color w:val="000000"/>
          <w:sz w:val="24"/>
          <w:szCs w:val="24"/>
          <w:rtl w:val="0"/>
        </w:rPr>
        <w:t xml:space="preserve">Kim et al. (2025)</w:t>
      </w:r>
      <w:r w:rsidDel="00000000" w:rsidR="00000000" w:rsidRPr="00000000">
        <w:rPr>
          <w:rFonts w:ascii="Times New Roman" w:cs="Times New Roman" w:eastAsia="Times New Roman" w:hAnsi="Times New Roman"/>
          <w:sz w:val="24"/>
          <w:szCs w:val="24"/>
          <w:rtl w:val="0"/>
        </w:rPr>
        <w:t xml:space="preserve">, auditors with stronger individualistic tendencies are associated with lower earnings comparability, effectively neutralizing the standardization benefits of shared auditing. Furthermore, the lack of a significant effect implies that the enhancement of comparability is conditional on specific partner characteristics rather than the mere presence of a shared auditor. </w:t>
      </w:r>
      <w:r w:rsidDel="00000000" w:rsidR="00000000" w:rsidRPr="00000000">
        <w:rPr>
          <w:rFonts w:ascii="Times New Roman" w:cs="Times New Roman" w:eastAsia="Times New Roman" w:hAnsi="Times New Roman"/>
          <w:color w:val="000000"/>
          <w:sz w:val="24"/>
          <w:szCs w:val="24"/>
          <w:rtl w:val="0"/>
        </w:rPr>
        <w:t xml:space="preserve">Ahn &amp; Sonu (2021)</w:t>
      </w:r>
      <w:r w:rsidDel="00000000" w:rsidR="00000000" w:rsidRPr="00000000">
        <w:rPr>
          <w:rFonts w:ascii="Times New Roman" w:cs="Times New Roman" w:eastAsia="Times New Roman" w:hAnsi="Times New Roman"/>
          <w:sz w:val="24"/>
          <w:szCs w:val="24"/>
          <w:rtl w:val="0"/>
        </w:rPr>
        <w:t xml:space="preserve"> argue that shared auditors contribute to comparability only when auditor-level expertise is applied consistently across engagements. In the absence of such consistent application, or if partners apply varying judgments to different clients based on specific contextual pressures, the shared auditor signal becomes noisy. Therefore, in this study, the standardization of financial reporting appears to be driven by the systemic quality control of the audit firm rather than the individual influence of audit partners.</w:t>
      </w:r>
    </w:p>
    <w:p w:rsidR="00000000" w:rsidDel="00000000" w:rsidP="00000000" w:rsidRDefault="00000000" w:rsidRPr="00000000" w14:paraId="0000014C">
      <w:pPr>
        <w:keepNext w:val="1"/>
        <w:keepLines w:val="1"/>
        <w:tabs>
          <w:tab w:val="left" w:leader="none" w:pos="709"/>
        </w:tabs>
        <w:spacing w:line="360" w:lineRule="auto"/>
        <w:jc w:val="both"/>
        <w:rPr>
          <w:rFonts w:ascii="Times New Roman" w:cs="Times New Roman" w:eastAsia="Times New Roman" w:hAnsi="Times New Roman"/>
          <w:b w:val="1"/>
          <w:bCs w:val="1"/>
          <w:sz w:val="24"/>
          <w:szCs w:val="24"/>
        </w:rPr>
      </w:pPr>
      <w:bookmarkStart w:colFirst="0" w:colLast="0" w:name="_heading=h.od1qif8q6c11" w:id="12"/>
      <w:bookmarkEnd w:id="12"/>
      <w:r w:rsidDel="00000000" w:rsidR="00000000" w:rsidRPr="00000000">
        <w:rPr>
          <w:rFonts w:ascii="Times New Roman" w:cs="Times New Roman" w:eastAsia="Times New Roman" w:hAnsi="Times New Roman"/>
          <w:b w:val="1"/>
          <w:bCs w:val="1"/>
          <w:sz w:val="24"/>
          <w:szCs w:val="24"/>
          <w:rtl w:val="0"/>
        </w:rPr>
        <w:t xml:space="preserve">5. Conclusion</w:t>
      </w:r>
    </w:p>
    <w:p w:rsidR="00000000" w:rsidDel="00000000" w:rsidP="00000000" w:rsidRDefault="00000000" w:rsidRPr="00000000" w14:paraId="0000014D">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set out to examine the effect of shared auditors on accounting comparability in Vietnam, an emerging market characterized by a predominantly rule-based accounting system and increasing reliance on professional judgment in the context of IFRS convergence. Drawing on a firm-pair research design and a sample of non-financial firms listed on the Ho Chi Minh City Stock Exchange and the Hanoi Stock Exchange over the period 2010 - 2024, the study investigates whether auditor commonality is associated with more comparable financial reporting outcomes.</w:t>
      </w:r>
    </w:p>
    <w:p w:rsidR="00000000" w:rsidDel="00000000" w:rsidP="00000000" w:rsidRDefault="00000000" w:rsidRPr="00000000" w14:paraId="0000014E">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indicate that firm pairs audited by the same audit firm exhibit higher levels of accounting comparability, while sharing the same signing audit partner does not appear to have a statistically significant effect. This asymmetric pattern suggests that accounting comparability in the Vietnamese context is more closely related to audit firm-level standardization than to individual auditor involvement. In particular, the results imply that internal audit methodologies, training practices, and quality control systems at the audit firm level play a central role in shaping comparable accounting outcomes across client firms. More generally, the evidence indicates that the influence of shared auditors on accounting comparability is contingent on institutional features that structure and constrain the exercise of professional judgment.</w:t>
      </w:r>
    </w:p>
    <w:p w:rsidR="00000000" w:rsidDel="00000000" w:rsidP="00000000" w:rsidRDefault="00000000" w:rsidRPr="00000000" w14:paraId="0000014F">
      <w:pPr>
        <w:spacing w:after="120" w:line="288" w:lineRule="auto"/>
        <w:ind w:firstLine="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this study contributes to the accounting and auditing literature by extending prior evidence on the shared auditor-accounting comparability relationship to an emerging market setting and by highlighting the relative importance of organizational features of audit firms. From a practical standpoint, the results suggest that policies aimed at strengthening audit firm governance and standardization mechanisms may support the enhancement of financial reporting comparability during the IFRS adoption process. This study is subject to several limitations, including its focus on listed non-financial firms and the use of return-based measures of accounting comparability. Future research could build on this study by exploring alternative measures of comparability, examining other emerging market contexts, or investigating how institutional uncertainty interacts with auditor characteristics to influence financial reporting outcomes.</w:t>
      </w:r>
    </w:p>
    <w:p w:rsidR="00000000" w:rsidDel="00000000" w:rsidP="00000000" w:rsidRDefault="00000000" w:rsidRPr="00000000" w14:paraId="00000150">
      <w:pP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51">
      <w:pPr>
        <w:pStyle w:val="Heading1"/>
        <w:tabs>
          <w:tab w:val="left" w:leader="none" w:pos="709"/>
        </w:tabs>
        <w:jc w:val="center"/>
        <w:rPr/>
      </w:pPr>
      <w:r w:rsidDel="00000000" w:rsidR="00000000" w:rsidRPr="00000000">
        <w:rPr>
          <w:rtl w:val="0"/>
        </w:rPr>
        <w:t xml:space="preserve">REFERENCES</w:t>
      </w:r>
    </w:p>
    <w:p w:rsidR="00000000" w:rsidDel="00000000" w:rsidP="00000000" w:rsidRDefault="00000000" w:rsidRPr="00000000" w14:paraId="00000152">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Ahn, H., &amp; Sonu, C. H. (2021). The effect of audit partner style on financial statement comparability. </w:t>
      </w:r>
      <w:r w:rsidDel="00000000" w:rsidR="00000000" w:rsidRPr="00000000">
        <w:rPr>
          <w:rFonts w:ascii="Times New Roman" w:cs="Times New Roman" w:eastAsia="Times New Roman" w:hAnsi="Times New Roman"/>
          <w:i w:val="1"/>
          <w:iCs w:val="1"/>
          <w:color w:val="000000"/>
          <w:sz w:val="24"/>
          <w:szCs w:val="24"/>
          <w:rtl w:val="0"/>
        </w:rPr>
        <w:t xml:space="preserve">Asia-Pacific Journal of Accounting &amp; Economics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28</w:t>
      </w:r>
      <w:r w:rsidDel="00000000" w:rsidR="00000000" w:rsidRPr="00000000">
        <w:rPr>
          <w:rFonts w:ascii="Times New Roman" w:cs="Times New Roman" w:eastAsia="Times New Roman" w:hAnsi="Times New Roman"/>
          <w:color w:val="000000"/>
          <w:sz w:val="24"/>
          <w:szCs w:val="24"/>
          <w:rtl w:val="0"/>
        </w:rPr>
        <w:t xml:space="preserve">(1), 44-70. https://doi.org/10.1080/16081625.2020.1844999</w:t>
      </w:r>
    </w:p>
    <w:p w:rsidR="00000000" w:rsidDel="00000000" w:rsidP="00000000" w:rsidRDefault="00000000" w:rsidRPr="00000000" w14:paraId="00000153">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Can, L., &amp; Nguyen, D. (2021). The emerging Asia-Pacific capital markets. </w:t>
      </w:r>
      <w:r w:rsidDel="00000000" w:rsidR="00000000" w:rsidRPr="00000000">
        <w:rPr>
          <w:rFonts w:ascii="Times New Roman" w:cs="Times New Roman" w:eastAsia="Times New Roman" w:hAnsi="Times New Roman"/>
          <w:i w:val="1"/>
          <w:iCs w:val="1"/>
          <w:sz w:val="24"/>
          <w:szCs w:val="24"/>
          <w:rtl w:val="0"/>
        </w:rPr>
        <w:t xml:space="preserve">CFA Institute</w:t>
      </w:r>
      <w:r w:rsidDel="00000000" w:rsidR="00000000" w:rsidRPr="00000000">
        <w:rPr>
          <w:rFonts w:ascii="Times New Roman" w:cs="Times New Roman" w:eastAsia="Times New Roman" w:hAnsi="Times New Roman"/>
          <w:sz w:val="24"/>
          <w:szCs w:val="24"/>
          <w:rtl w:val="0"/>
        </w:rPr>
        <w:t xml:space="preserve">. 96-105. https://rpc.cfainstitute.org/research/foundation/2021/apac-capital-markets</w:t>
      </w:r>
      <w:r w:rsidDel="00000000" w:rsidR="00000000" w:rsidRPr="00000000">
        <w:rPr>
          <w:rtl w:val="0"/>
        </w:rPr>
      </w:r>
    </w:p>
    <w:p w:rsidR="00000000" w:rsidDel="00000000" w:rsidP="00000000" w:rsidRDefault="00000000" w:rsidRPr="00000000" w14:paraId="00000154">
      <w:pPr>
        <w:spacing w:after="120" w:line="288" w:lineRule="auto"/>
        <w:ind w:left="426" w:hanging="42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Chen, J. Z., Chen, M. H., Chin, C. L., &amp; Lobo, G. J. (2020). Do Firms That Have a Common Signing Auditor Exhibit Higher Earnings Comparability? </w:t>
      </w:r>
      <w:r w:rsidDel="00000000" w:rsidR="00000000" w:rsidRPr="00000000">
        <w:rPr>
          <w:rFonts w:ascii="Times New Roman" w:cs="Times New Roman" w:eastAsia="Times New Roman" w:hAnsi="Times New Roman"/>
          <w:i w:val="1"/>
          <w:iCs w:val="1"/>
          <w:color w:val="000000"/>
          <w:sz w:val="24"/>
          <w:szCs w:val="24"/>
          <w:rtl w:val="0"/>
        </w:rPr>
        <w:t xml:space="preserve">The Accounting Review</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95</w:t>
      </w:r>
      <w:r w:rsidDel="00000000" w:rsidR="00000000" w:rsidRPr="00000000">
        <w:rPr>
          <w:rFonts w:ascii="Times New Roman" w:cs="Times New Roman" w:eastAsia="Times New Roman" w:hAnsi="Times New Roman"/>
          <w:color w:val="000000"/>
          <w:sz w:val="24"/>
          <w:szCs w:val="24"/>
          <w:rtl w:val="0"/>
        </w:rPr>
        <w:t xml:space="preserve">(3), 115-143. https://doi.org/10.2308/ACCR-52522</w:t>
      </w:r>
      <w:r w:rsidDel="00000000" w:rsidR="00000000" w:rsidRPr="00000000">
        <w:rPr>
          <w:rtl w:val="0"/>
        </w:rPr>
      </w:r>
    </w:p>
    <w:p w:rsidR="00000000" w:rsidDel="00000000" w:rsidP="00000000" w:rsidRDefault="00000000" w:rsidRPr="00000000" w14:paraId="00000155">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 Franco, G., Kothari, S. P., &amp; Verdi, R. S. (2011). The benefits of financial statement comparability. </w:t>
      </w:r>
      <w:r w:rsidDel="00000000" w:rsidR="00000000" w:rsidRPr="00000000">
        <w:rPr>
          <w:rFonts w:ascii="Times New Roman" w:cs="Times New Roman" w:eastAsia="Times New Roman" w:hAnsi="Times New Roman"/>
          <w:i w:val="1"/>
          <w:iCs w:val="1"/>
          <w:color w:val="000000"/>
          <w:sz w:val="24"/>
          <w:szCs w:val="24"/>
          <w:rtl w:val="0"/>
        </w:rPr>
        <w:t xml:space="preserve">Journal of Accounting Research</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49</w:t>
      </w:r>
      <w:r w:rsidDel="00000000" w:rsidR="00000000" w:rsidRPr="00000000">
        <w:rPr>
          <w:rFonts w:ascii="Times New Roman" w:cs="Times New Roman" w:eastAsia="Times New Roman" w:hAnsi="Times New Roman"/>
          <w:color w:val="000000"/>
          <w:sz w:val="24"/>
          <w:szCs w:val="24"/>
          <w:rtl w:val="0"/>
        </w:rPr>
        <w:t xml:space="preserve">(4), 895-931. https://doi.org/10.1111/J.1475-679X.2011.00415.X</w:t>
      </w:r>
    </w:p>
    <w:p w:rsidR="00000000" w:rsidDel="00000000" w:rsidP="00000000" w:rsidRDefault="00000000" w:rsidRPr="00000000" w14:paraId="00000156">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DeFond, M., &amp; Zhang, J. (2014). A review of archival auditing research. </w:t>
      </w:r>
      <w:r w:rsidDel="00000000" w:rsidR="00000000" w:rsidRPr="00000000">
        <w:rPr>
          <w:rFonts w:ascii="Times New Roman" w:cs="Times New Roman" w:eastAsia="Times New Roman" w:hAnsi="Times New Roman"/>
          <w:i w:val="1"/>
          <w:iCs w:val="1"/>
          <w:color w:val="000000"/>
          <w:sz w:val="24"/>
          <w:szCs w:val="24"/>
          <w:rtl w:val="0"/>
        </w:rPr>
        <w:t xml:space="preserve">Journal of Accounting and Economics</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58</w:t>
      </w:r>
      <w:r w:rsidDel="00000000" w:rsidR="00000000" w:rsidRPr="00000000">
        <w:rPr>
          <w:rFonts w:ascii="Times New Roman" w:cs="Times New Roman" w:eastAsia="Times New Roman" w:hAnsi="Times New Roman"/>
          <w:color w:val="000000"/>
          <w:sz w:val="24"/>
          <w:szCs w:val="24"/>
          <w:rtl w:val="0"/>
        </w:rPr>
        <w:t xml:space="preserve">(2-3), 275-326. https://doi.org/10.1016/J.JACCECO.2014.09.002</w:t>
      </w:r>
    </w:p>
    <w:p w:rsidR="00000000" w:rsidDel="00000000" w:rsidP="00000000" w:rsidRDefault="00000000" w:rsidRPr="00000000" w14:paraId="00000157">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Francis, J. R. (2004). What do we know about audit quality? </w:t>
      </w:r>
      <w:r w:rsidDel="00000000" w:rsidR="00000000" w:rsidRPr="00000000">
        <w:rPr>
          <w:rFonts w:ascii="Times New Roman" w:cs="Times New Roman" w:eastAsia="Times New Roman" w:hAnsi="Times New Roman"/>
          <w:i w:val="1"/>
          <w:iCs w:val="1"/>
          <w:color w:val="000000"/>
          <w:sz w:val="24"/>
          <w:szCs w:val="24"/>
          <w:rtl w:val="0"/>
        </w:rPr>
        <w:t xml:space="preserve">The British Accounting Review</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36</w:t>
      </w:r>
      <w:r w:rsidDel="00000000" w:rsidR="00000000" w:rsidRPr="00000000">
        <w:rPr>
          <w:rFonts w:ascii="Times New Roman" w:cs="Times New Roman" w:eastAsia="Times New Roman" w:hAnsi="Times New Roman"/>
          <w:color w:val="000000"/>
          <w:sz w:val="24"/>
          <w:szCs w:val="24"/>
          <w:rtl w:val="0"/>
        </w:rPr>
        <w:t xml:space="preserve">(4), 345-368. https://doi.org/10.1016/J.BAR.2004.09.003</w:t>
      </w:r>
    </w:p>
    <w:p w:rsidR="00000000" w:rsidDel="00000000" w:rsidP="00000000" w:rsidRDefault="00000000" w:rsidRPr="00000000" w14:paraId="00000158">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Francis, J. R., Pinnuck, M. L., &amp; Watanabe, O. (2014). Auditor Style and Financial Statement Comparability. </w:t>
      </w:r>
      <w:r w:rsidDel="00000000" w:rsidR="00000000" w:rsidRPr="00000000">
        <w:rPr>
          <w:rFonts w:ascii="Times New Roman" w:cs="Times New Roman" w:eastAsia="Times New Roman" w:hAnsi="Times New Roman"/>
          <w:i w:val="1"/>
          <w:iCs w:val="1"/>
          <w:color w:val="000000"/>
          <w:sz w:val="24"/>
          <w:szCs w:val="24"/>
          <w:rtl w:val="0"/>
        </w:rPr>
        <w:t xml:space="preserve">The Accounting Review</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89</w:t>
      </w:r>
      <w:r w:rsidDel="00000000" w:rsidR="00000000" w:rsidRPr="00000000">
        <w:rPr>
          <w:rFonts w:ascii="Times New Roman" w:cs="Times New Roman" w:eastAsia="Times New Roman" w:hAnsi="Times New Roman"/>
          <w:color w:val="000000"/>
          <w:sz w:val="24"/>
          <w:szCs w:val="24"/>
          <w:rtl w:val="0"/>
        </w:rPr>
        <w:t xml:space="preserve">(2), 605-633. https://doi.org/10.2308/ACCR-50642</w:t>
      </w:r>
    </w:p>
    <w:p w:rsidR="00000000" w:rsidDel="00000000" w:rsidP="00000000" w:rsidRDefault="00000000" w:rsidRPr="00000000" w14:paraId="00000159">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Frost, T., He, Z. C., Luo, X., &amp; Stice, D. (2024). Audit partner style and financial statement comparability: New evidence from the US market. </w:t>
      </w:r>
      <w:r w:rsidDel="00000000" w:rsidR="00000000" w:rsidRPr="00000000">
        <w:rPr>
          <w:rFonts w:ascii="Times New Roman" w:cs="Times New Roman" w:eastAsia="Times New Roman" w:hAnsi="Times New Roman"/>
          <w:i w:val="1"/>
          <w:iCs w:val="1"/>
          <w:color w:val="000000"/>
          <w:sz w:val="24"/>
          <w:szCs w:val="24"/>
          <w:rtl w:val="0"/>
        </w:rPr>
        <w:t xml:space="preserve">Journal of Business Finance and Accounting</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51</w:t>
      </w:r>
      <w:r w:rsidDel="00000000" w:rsidR="00000000" w:rsidRPr="00000000">
        <w:rPr>
          <w:rFonts w:ascii="Times New Roman" w:cs="Times New Roman" w:eastAsia="Times New Roman" w:hAnsi="Times New Roman"/>
          <w:color w:val="000000"/>
          <w:sz w:val="24"/>
          <w:szCs w:val="24"/>
          <w:rtl w:val="0"/>
        </w:rPr>
        <w:t xml:space="preserve">(9-10), 2763-2790. https://doi.org/10.1111/JBFA.12798</w:t>
      </w:r>
    </w:p>
    <w:p w:rsidR="00000000" w:rsidDel="00000000" w:rsidP="00000000" w:rsidRDefault="00000000" w:rsidRPr="00000000" w14:paraId="0000015A">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IASB. (2018). </w:t>
      </w:r>
      <w:r w:rsidDel="00000000" w:rsidR="00000000" w:rsidRPr="00000000">
        <w:rPr>
          <w:rFonts w:ascii="Times New Roman" w:cs="Times New Roman" w:eastAsia="Times New Roman" w:hAnsi="Times New Roman"/>
          <w:i w:val="1"/>
          <w:iCs w:val="1"/>
          <w:color w:val="000000"/>
          <w:sz w:val="24"/>
          <w:szCs w:val="24"/>
          <w:rtl w:val="0"/>
        </w:rPr>
        <w:t xml:space="preserve">Conceptual Framework for Financial Reporting 2018</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15B">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Kim, S., Kraft, P., &amp; Ryan, S. G. (2013). Financial statement comparability and credit risk. </w:t>
      </w:r>
      <w:r w:rsidDel="00000000" w:rsidR="00000000" w:rsidRPr="00000000">
        <w:rPr>
          <w:rFonts w:ascii="Times New Roman" w:cs="Times New Roman" w:eastAsia="Times New Roman" w:hAnsi="Times New Roman"/>
          <w:i w:val="1"/>
          <w:iCs w:val="1"/>
          <w:color w:val="000000"/>
          <w:sz w:val="24"/>
          <w:szCs w:val="24"/>
          <w:rtl w:val="0"/>
        </w:rPr>
        <w:t xml:space="preserve">Review of Accounting Studies 2013 18:3</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18</w:t>
      </w:r>
      <w:r w:rsidDel="00000000" w:rsidR="00000000" w:rsidRPr="00000000">
        <w:rPr>
          <w:rFonts w:ascii="Times New Roman" w:cs="Times New Roman" w:eastAsia="Times New Roman" w:hAnsi="Times New Roman"/>
          <w:color w:val="000000"/>
          <w:sz w:val="24"/>
          <w:szCs w:val="24"/>
          <w:rtl w:val="0"/>
        </w:rPr>
        <w:t xml:space="preserve">(3), 783-823. https://doi.org/10.1007/S11142-013-9233-Z</w:t>
      </w:r>
    </w:p>
    <w:p w:rsidR="00000000" w:rsidDel="00000000" w:rsidP="00000000" w:rsidRDefault="00000000" w:rsidRPr="00000000" w14:paraId="0000015C">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Kim, Y. H., Li, Y., &amp; Wang, D. (2025). Does audit partner individualism reduce client earnings comparability? Evidence from the United States. </w:t>
      </w:r>
      <w:r w:rsidDel="00000000" w:rsidR="00000000" w:rsidRPr="00000000">
        <w:rPr>
          <w:rFonts w:ascii="Times New Roman" w:cs="Times New Roman" w:eastAsia="Times New Roman" w:hAnsi="Times New Roman"/>
          <w:i w:val="1"/>
          <w:iCs w:val="1"/>
          <w:color w:val="000000"/>
          <w:sz w:val="24"/>
          <w:szCs w:val="24"/>
          <w:rtl w:val="0"/>
        </w:rPr>
        <w:t xml:space="preserve">Contemporary Accounting Research</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42</w:t>
      </w:r>
      <w:r w:rsidDel="00000000" w:rsidR="00000000" w:rsidRPr="00000000">
        <w:rPr>
          <w:rFonts w:ascii="Times New Roman" w:cs="Times New Roman" w:eastAsia="Times New Roman" w:hAnsi="Times New Roman"/>
          <w:color w:val="000000"/>
          <w:sz w:val="24"/>
          <w:szCs w:val="24"/>
          <w:rtl w:val="0"/>
        </w:rPr>
        <w:t xml:space="preserve">(3), 2090-2121. https://doi.org/10.1111/1911-3846.13062</w:t>
      </w:r>
    </w:p>
    <w:p w:rsidR="00000000" w:rsidDel="00000000" w:rsidP="00000000" w:rsidRDefault="00000000" w:rsidRPr="00000000" w14:paraId="0000015D">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Nguyen, H. T. T., Nguyen, H. T. T., &amp; Nguyen, C. V. (2023). Analysis of factors affecting the adoption of IFRS in an emerging economy. </w:t>
      </w:r>
      <w:r w:rsidDel="00000000" w:rsidR="00000000" w:rsidRPr="00000000">
        <w:rPr>
          <w:rFonts w:ascii="Times New Roman" w:cs="Times New Roman" w:eastAsia="Times New Roman" w:hAnsi="Times New Roman"/>
          <w:i w:val="1"/>
          <w:iCs w:val="1"/>
          <w:color w:val="000000"/>
          <w:sz w:val="24"/>
          <w:szCs w:val="24"/>
          <w:rtl w:val="0"/>
        </w:rPr>
        <w:t xml:space="preserve">Heliyon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9</w:t>
      </w:r>
      <w:r w:rsidDel="00000000" w:rsidR="00000000" w:rsidRPr="00000000">
        <w:rPr>
          <w:rFonts w:ascii="Times New Roman" w:cs="Times New Roman" w:eastAsia="Times New Roman" w:hAnsi="Times New Roman"/>
          <w:color w:val="000000"/>
          <w:sz w:val="24"/>
          <w:szCs w:val="24"/>
          <w:rtl w:val="0"/>
        </w:rPr>
        <w:t xml:space="preserve">(6), e17331. https://doi.org/10.1016/j.heliyon.2023.e17331</w:t>
      </w:r>
    </w:p>
    <w:p w:rsidR="00000000" w:rsidDel="00000000" w:rsidP="00000000" w:rsidRDefault="00000000" w:rsidRPr="00000000" w14:paraId="0000015E">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PwC Vietnam. (2021). A comparison of IFRS and Vietnamese GAAP. https://www.pwc.com/vn/en/publications/2021/pwc-vietnam-ifrs-vietnamese-gaap.pdf</w:t>
      </w:r>
      <w:r w:rsidDel="00000000" w:rsidR="00000000" w:rsidRPr="00000000">
        <w:rPr>
          <w:rtl w:val="0"/>
        </w:rPr>
      </w:r>
    </w:p>
    <w:p w:rsidR="00000000" w:rsidDel="00000000" w:rsidP="00000000" w:rsidRDefault="00000000" w:rsidRPr="00000000" w14:paraId="0000015F">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Smith, C. (2022). The role of audit styles in financial statement comparability: South African evidence. </w:t>
      </w:r>
      <w:r w:rsidDel="00000000" w:rsidR="00000000" w:rsidRPr="00000000">
        <w:rPr>
          <w:rFonts w:ascii="Times New Roman" w:cs="Times New Roman" w:eastAsia="Times New Roman" w:hAnsi="Times New Roman"/>
          <w:i w:val="1"/>
          <w:iCs w:val="1"/>
          <w:color w:val="000000"/>
          <w:sz w:val="24"/>
          <w:szCs w:val="24"/>
          <w:rtl w:val="0"/>
        </w:rPr>
        <w:t xml:space="preserve">International Journal of Auditing</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26</w:t>
      </w:r>
      <w:r w:rsidDel="00000000" w:rsidR="00000000" w:rsidRPr="00000000">
        <w:rPr>
          <w:rFonts w:ascii="Times New Roman" w:cs="Times New Roman" w:eastAsia="Times New Roman" w:hAnsi="Times New Roman"/>
          <w:color w:val="000000"/>
          <w:sz w:val="24"/>
          <w:szCs w:val="24"/>
          <w:rtl w:val="0"/>
        </w:rPr>
        <w:t xml:space="preserve">(4), 572-589. https://doi.org/10.1111/IJAU.12296</w:t>
      </w:r>
    </w:p>
    <w:p w:rsidR="00000000" w:rsidDel="00000000" w:rsidP="00000000" w:rsidRDefault="00000000" w:rsidRPr="00000000" w14:paraId="00000160">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Soderstrom, N. S., &amp; Sun, K. J. (2007). IFRS adoption and accounting quality: A review. </w:t>
      </w:r>
      <w:r w:rsidDel="00000000" w:rsidR="00000000" w:rsidRPr="00000000">
        <w:rPr>
          <w:rFonts w:ascii="Times New Roman" w:cs="Times New Roman" w:eastAsia="Times New Roman" w:hAnsi="Times New Roman"/>
          <w:i w:val="1"/>
          <w:iCs w:val="1"/>
          <w:color w:val="000000"/>
          <w:sz w:val="24"/>
          <w:szCs w:val="24"/>
          <w:rtl w:val="0"/>
        </w:rPr>
        <w:t xml:space="preserve">European Accounting Review</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iCs w:val="1"/>
          <w:color w:val="000000"/>
          <w:sz w:val="24"/>
          <w:szCs w:val="24"/>
          <w:rtl w:val="0"/>
        </w:rPr>
        <w:t xml:space="preserve">16</w:t>
      </w:r>
      <w:r w:rsidDel="00000000" w:rsidR="00000000" w:rsidRPr="00000000">
        <w:rPr>
          <w:rFonts w:ascii="Times New Roman" w:cs="Times New Roman" w:eastAsia="Times New Roman" w:hAnsi="Times New Roman"/>
          <w:color w:val="000000"/>
          <w:sz w:val="24"/>
          <w:szCs w:val="24"/>
          <w:rtl w:val="0"/>
        </w:rPr>
        <w:t xml:space="preserve">(4), 675-702. https://doi.org/10.1080/09638180701706732</w:t>
      </w:r>
    </w:p>
    <w:p w:rsidR="00000000" w:rsidDel="00000000" w:rsidP="00000000" w:rsidRDefault="00000000" w:rsidRPr="00000000" w14:paraId="00000161">
      <w:pPr>
        <w:spacing w:after="120" w:line="288" w:lineRule="auto"/>
        <w:ind w:left="426" w:hanging="42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Tian, X., Yan, J., &amp; Zuo, L. (2025). Do Shared Auditors Facilitate Follow-on Innovation? </w:t>
      </w:r>
      <w:r w:rsidDel="00000000" w:rsidR="00000000" w:rsidRPr="00000000">
        <w:rPr>
          <w:rFonts w:ascii="Times New Roman" w:cs="Times New Roman" w:eastAsia="Times New Roman" w:hAnsi="Times New Roman"/>
          <w:i w:val="1"/>
          <w:iCs w:val="1"/>
          <w:color w:val="000000"/>
          <w:sz w:val="24"/>
          <w:szCs w:val="24"/>
          <w:rtl w:val="0"/>
        </w:rPr>
        <w:t xml:space="preserve">Journal of Accounting Research</w:t>
      </w:r>
      <w:r w:rsidDel="00000000" w:rsidR="00000000" w:rsidRPr="00000000">
        <w:rPr>
          <w:rFonts w:ascii="Times New Roman" w:cs="Times New Roman" w:eastAsia="Times New Roman" w:hAnsi="Times New Roman"/>
          <w:color w:val="000000"/>
          <w:sz w:val="24"/>
          <w:szCs w:val="24"/>
          <w:rtl w:val="0"/>
        </w:rPr>
        <w:t xml:space="preserve">. https://doi.org/10.1111/1475-679X.70010</w:t>
      </w:r>
    </w:p>
    <w:p w:rsidR="00000000" w:rsidDel="00000000" w:rsidP="00000000" w:rsidRDefault="00000000" w:rsidRPr="00000000" w14:paraId="00000162">
      <w:pPr>
        <w:spacing w:after="120" w:line="288" w:lineRule="auto"/>
        <w:jc w:val="both"/>
        <w:rPr>
          <w:rFonts w:ascii="Times New Roman" w:cs="Times New Roman" w:eastAsia="Times New Roman" w:hAnsi="Times New Roman"/>
          <w:sz w:val="24"/>
          <w:szCs w:val="24"/>
        </w:rPr>
      </w:pPr>
      <w:r w:rsidDel="00000000" w:rsidR="00000000" w:rsidRPr="00000000">
        <w:rPr>
          <w:rtl w:val="0"/>
        </w:rPr>
      </w:r>
    </w:p>
    <w:sectPr>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FTU Working Paper Series, Vol.</w:t>
    </w: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No.</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(01/2025)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63">
      <w:pPr>
        <w:spacing w:before="20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Tác giả liên hệ, Email: k62.2314825028@ftu.edu.vn</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709"/>
      </w:tabs>
      <w:spacing w:after="120" w:line="288" w:lineRule="auto"/>
      <w:jc w:val="both"/>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3D3B15"/>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3D3B15"/>
    <w:pPr>
      <w:ind w:left="720"/>
      <w:contextualSpacing w:val="1"/>
    </w:pPr>
  </w:style>
  <w:style w:type="paragraph" w:styleId="Header">
    <w:name w:val="header"/>
    <w:basedOn w:val="Normal"/>
    <w:link w:val="HeaderChar"/>
    <w:uiPriority w:val="99"/>
    <w:unhideWhenUsed w:val="1"/>
    <w:rsid w:val="00C76B77"/>
    <w:pPr>
      <w:tabs>
        <w:tab w:val="center" w:pos="4680"/>
        <w:tab w:val="right" w:pos="9360"/>
      </w:tabs>
      <w:spacing w:line="240" w:lineRule="auto"/>
    </w:pPr>
  </w:style>
  <w:style w:type="character" w:styleId="HeaderChar" w:customStyle="1">
    <w:name w:val="Header Char"/>
    <w:basedOn w:val="DefaultParagraphFont"/>
    <w:link w:val="Header"/>
    <w:uiPriority w:val="99"/>
    <w:rsid w:val="00C76B77"/>
  </w:style>
  <w:style w:type="paragraph" w:styleId="Footer">
    <w:name w:val="footer"/>
    <w:basedOn w:val="Normal"/>
    <w:link w:val="FooterChar"/>
    <w:uiPriority w:val="99"/>
    <w:unhideWhenUsed w:val="1"/>
    <w:rsid w:val="00C76B77"/>
    <w:pPr>
      <w:tabs>
        <w:tab w:val="center" w:pos="4680"/>
        <w:tab w:val="right" w:pos="9360"/>
      </w:tabs>
      <w:spacing w:line="240" w:lineRule="auto"/>
    </w:pPr>
  </w:style>
  <w:style w:type="character" w:styleId="FooterChar" w:customStyle="1">
    <w:name w:val="Footer Char"/>
    <w:basedOn w:val="DefaultParagraphFont"/>
    <w:link w:val="Footer"/>
    <w:uiPriority w:val="99"/>
    <w:rsid w:val="00C76B77"/>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YWh6Ejp0228DPBJH7mD6Q9eOTQ==">CgMxLjAyDmguMWcyeTJqOGJzN2ltMg5oLjg0aDY0cWtpNDN5dzIOaC44dTJnY3B5eXFzMHEyDmguMmN0ZWtld282NXcyMg5oLmhtbTcxd2lxaXR2cjIOaC4zeTBscjhqaWt2cG4yDmgubzI2c2hsYXR2cjF2Mg5oLnEyc3ByemVvcGY4dDIOaC51azVzeTVjcnZvc2syDmgubzk2emV2Yjh6dmZnMg5oLnN3cmF6NTQ0eDdlaDIOaC5xdzJxeDh4aHJvdTEyDmgub2QxcWlmOHE2YzExOAByITFfamVyUkdrczd3Qlp3ZGZ5TXltMzRMNFdKVFdnYXow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2025-01-02T06:10:00Z</dcterms:created>
</cp:coreProperties>
</file>