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160" w:vertAnchor="text" w:horzAnchor="text" w:tblpX="141.49999999999977" w:tblpY="182"/>
        <w:tblW w:w="9356.0" w:type="dxa"/>
        <w:jc w:val="left"/>
        <w:tblBorders>
          <w:top w:color="000000" w:space="0" w:sz="4" w:val="single"/>
          <w:bottom w:color="000000" w:space="0" w:sz="4" w:val="single"/>
        </w:tblBorders>
        <w:tblLayout w:type="fixed"/>
        <w:tblLook w:val="0400"/>
      </w:tblPr>
      <w:tblGrid>
        <w:gridCol w:w="2141"/>
        <w:gridCol w:w="7215"/>
        <w:tblGridChange w:id="0">
          <w:tblGrid>
            <w:gridCol w:w="2141"/>
            <w:gridCol w:w="7215"/>
          </w:tblGrid>
        </w:tblGridChange>
      </w:tblGrid>
      <w:tr>
        <w:trPr>
          <w:cantSplit w:val="0"/>
          <w:trHeight w:val="510" w:hRule="atLeast"/>
          <w:tblHeader w:val="0"/>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2">
            <w:pPr>
              <w:spacing w:after="160" w:line="259" w:lineRule="auto"/>
              <w:rPr>
                <w:rFonts w:ascii="Times New Roman" w:cs="Times New Roman" w:eastAsia="Times New Roman" w:hAnsi="Times New Roman"/>
                <w:b w:val="1"/>
                <w:bCs w:val="1"/>
                <w:sz w:val="24"/>
                <w:szCs w:val="24"/>
              </w:rPr>
            </w:pPr>
            <w:bookmarkStart w:colFirst="0" w:colLast="0" w:name="_heading=h.to25zvm5tl7x" w:id="0"/>
            <w:bookmarkEnd w:id="0"/>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1209675" cy="17145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09675" cy="171450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3">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5">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after="160" w:line="259"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Working Paper 2026.2.3.13</w:t>
            </w:r>
            <w:r w:rsidDel="00000000" w:rsidR="00000000" w:rsidRPr="00000000">
              <w:rPr>
                <w:rtl w:val="0"/>
              </w:rPr>
            </w:r>
          </w:p>
          <w:p w:rsidR="00000000" w:rsidDel="00000000" w:rsidP="00000000" w:rsidRDefault="00000000" w:rsidRPr="00000000" w14:paraId="00000007">
            <w:pPr>
              <w:spacing w:after="160" w:line="259"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Vol.2 , No.3 </w:t>
            </w:r>
          </w:p>
          <w:p w:rsidR="00000000" w:rsidDel="00000000" w:rsidP="00000000" w:rsidRDefault="00000000" w:rsidRPr="00000000" w14:paraId="00000008">
            <w:pPr>
              <w:spacing w:after="160" w:line="259"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04" w:hRule="atLeast"/>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A">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0B">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TÁC ĐỘNG CỦA TÍNH SO SÁNH KẾ TOÁN ĐẾN TÍNH THANH KHOẢN </w:t>
      </w:r>
    </w:p>
    <w:p w:rsidR="00000000" w:rsidDel="00000000" w:rsidP="00000000" w:rsidRDefault="00000000" w:rsidRPr="00000000" w14:paraId="0000000C">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CỦA CỔ PHIẾU Ở CÁC DOANH NGHIỆP NIÊM YẾT TẠI VIỆT NAM</w:t>
      </w:r>
    </w:p>
    <w:p w:rsidR="00000000" w:rsidDel="00000000" w:rsidP="00000000" w:rsidRDefault="00000000" w:rsidRPr="00000000" w14:paraId="0000000D">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Mai Thiều Thảo Ngọc</w:t>
      </w:r>
      <w:r w:rsidDel="00000000" w:rsidR="00000000" w:rsidRPr="00000000">
        <w:rPr>
          <w:rFonts w:ascii="Times New Roman" w:cs="Times New Roman" w:eastAsia="Times New Roman" w:hAnsi="Times New Roman"/>
          <w:b w:val="1"/>
          <w:bCs w:val="1"/>
          <w:sz w:val="24"/>
          <w:szCs w:val="24"/>
          <w:vertAlign w:val="superscript"/>
          <w:rtl w:val="0"/>
        </w:rPr>
        <w:t xml:space="preserve"> </w:t>
      </w:r>
      <w:r w:rsidDel="00000000" w:rsidR="00000000" w:rsidRPr="00000000">
        <w:rPr>
          <w:rFonts w:ascii="Times New Roman" w:cs="Times New Roman" w:eastAsia="Times New Roman" w:hAnsi="Times New Roman"/>
          <w:b w:val="1"/>
          <w:bCs w:val="1"/>
          <w:sz w:val="24"/>
          <w:szCs w:val="24"/>
          <w:vertAlign w:val="superscript"/>
        </w:rPr>
        <w:footnoteReference w:customMarkFollows="0" w:id="0"/>
      </w:r>
      <w:r w:rsidDel="00000000" w:rsidR="00000000" w:rsidRPr="00000000">
        <w:rPr>
          <w:rFonts w:ascii="Times New Roman" w:cs="Times New Roman" w:eastAsia="Times New Roman" w:hAnsi="Times New Roman"/>
          <w:b w:val="1"/>
          <w:bCs w:val="1"/>
          <w:sz w:val="24"/>
          <w:szCs w:val="24"/>
          <w:rtl w:val="0"/>
        </w:rPr>
        <w:t xml:space="preserve">, Đoàn Trần Đoan Trang, </w:t>
      </w:r>
    </w:p>
    <w:p w:rsidR="00000000" w:rsidDel="00000000" w:rsidP="00000000" w:rsidRDefault="00000000" w:rsidRPr="00000000" w14:paraId="0000000E">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Lê Hoàng Minh Trí, Cao Khắc Tiến, </w:t>
      </w:r>
    </w:p>
    <w:p w:rsidR="00000000" w:rsidDel="00000000" w:rsidP="00000000" w:rsidRDefault="00000000" w:rsidRPr="00000000" w14:paraId="0000000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Sinh viên K62C Kế toán - Kiểm toán - Khoa QTKD &amp; Tài chính - Kế toán</w:t>
      </w:r>
    </w:p>
    <w:p w:rsidR="00000000" w:rsidDel="00000000" w:rsidP="00000000" w:rsidRDefault="00000000" w:rsidRPr="00000000" w14:paraId="00000010">
      <w:pPr>
        <w:spacing w:line="36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TP. Hồ Chí Minh, Việt Nam</w:t>
      </w:r>
    </w:p>
    <w:p w:rsidR="00000000" w:rsidDel="00000000" w:rsidP="00000000" w:rsidRDefault="00000000" w:rsidRPr="00000000" w14:paraId="00000011">
      <w:pPr>
        <w:spacing w:line="36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2">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Nguyễn Ngọc Thụy Vy</w:t>
      </w:r>
    </w:p>
    <w:p w:rsidR="00000000" w:rsidDel="00000000" w:rsidP="00000000" w:rsidRDefault="00000000" w:rsidRPr="00000000" w14:paraId="0000001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Giảng viên Khoa QTKD &amp; Tài chính - Kế toán</w:t>
      </w:r>
    </w:p>
    <w:p w:rsidR="00000000" w:rsidDel="00000000" w:rsidP="00000000" w:rsidRDefault="00000000" w:rsidRPr="00000000" w14:paraId="00000014">
      <w:pPr>
        <w:spacing w:line="36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Phân hiệu Trường Đại học Ngoại thương, TP. Hồ Chí Minh, Việt Nam</w:t>
      </w:r>
    </w:p>
    <w:p w:rsidR="00000000" w:rsidDel="00000000" w:rsidP="00000000" w:rsidRDefault="00000000" w:rsidRPr="00000000" w14:paraId="00000015">
      <w:pPr>
        <w:pBdr>
          <w:top w:color="000000" w:space="1" w:sz="4" w:val="single"/>
        </w:pBdr>
        <w:spacing w:line="360"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Tóm tắt</w:t>
      </w:r>
    </w:p>
    <w:p w:rsidR="00000000" w:rsidDel="00000000" w:rsidP="00000000" w:rsidRDefault="00000000" w:rsidRPr="00000000" w14:paraId="00000016">
      <w:pPr>
        <w:pBdr>
          <w:top w:color="000000" w:space="1" w:sz="4" w:val="single"/>
        </w:pBdr>
        <w:spacing w:after="160" w:line="360" w:lineRule="auto"/>
        <w:ind w:right="480"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Nghiên cứu xem xét tác động của khả năng so sánh kế toán đến tính thanh khoản cổ phiếu trên thị trường chứng khoán Việt Nam. Tính thanh khoản phản ánh mức độ hiệu quả của thị trường và khả năng giao dịch chứng khoán. Khả năng so sánh kế toán là một thuộc tính quan trọng của chất lượng thông tin tài chính vì giúp giảm bất cân xứng thông tin và hỗ trợ phân bổ vốn hiệu quả. Nghiên cứu sử dụng mẫu các doanh nghiệp niêm yết phi tài chính trong giai đoạn 2014-2024. Tính thanh khoản cổ phiếu được đo lường bằng chỉ số kém thanh khoản Amihud (2002). Kết quả thực nghiệm cho thấy khả năng so sánh kế toán cao hơn đi kèm với mức thanh khoản cổ phiếu thấp hơn. Phát hiện này hàm ý rằng tác động của thuộc tính thông tin kế toán đến thanh khoản thị trường phụ thuộc vào đặc điểm thị trường và bối cảnh thể chế tại các nền kinh tế mới nổi.</w:t>
      </w:r>
    </w:p>
    <w:p w:rsidR="00000000" w:rsidDel="00000000" w:rsidP="00000000" w:rsidRDefault="00000000" w:rsidRPr="00000000" w14:paraId="00000017">
      <w:pPr>
        <w:pBdr>
          <w:top w:color="000000" w:space="1" w:sz="4" w:val="single"/>
        </w:pBdr>
        <w:spacing w:after="160" w:line="360" w:lineRule="auto"/>
        <w:ind w:right="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Từ khoá</w:t>
      </w:r>
      <w:r w:rsidDel="00000000" w:rsidR="00000000" w:rsidRPr="00000000">
        <w:rPr>
          <w:rFonts w:ascii="Times New Roman" w:cs="Times New Roman" w:eastAsia="Times New Roman" w:hAnsi="Times New Roman"/>
          <w:sz w:val="24"/>
          <w:szCs w:val="24"/>
          <w:rtl w:val="0"/>
        </w:rPr>
        <w:t xml:space="preserve">: tính so sánh kế toán, tính thanh khoản cổ phiếu, bất cân xứng thông tin, thị trường mới nổi, Việt Nam.</w:t>
      </w:r>
    </w:p>
    <w:p w:rsidR="00000000" w:rsidDel="00000000" w:rsidP="00000000" w:rsidRDefault="00000000" w:rsidRPr="00000000" w14:paraId="00000018">
      <w:pPr>
        <w:spacing w:after="160" w:line="360" w:lineRule="auto"/>
        <w:ind w:right="48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THE IMPACT OF ACCOUNTING COMPARABILITY ON STOCK LIQUIDITY: EVIDENCE FROM VIETNAM</w:t>
      </w:r>
      <w:r w:rsidDel="00000000" w:rsidR="00000000" w:rsidRPr="00000000">
        <w:rPr>
          <w:rtl w:val="0"/>
        </w:rPr>
      </w:r>
    </w:p>
    <w:p w:rsidR="00000000" w:rsidDel="00000000" w:rsidP="00000000" w:rsidRDefault="00000000" w:rsidRPr="00000000" w14:paraId="00000019">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1A">
      <w:pPr>
        <w:spacing w:after="160" w:line="360" w:lineRule="auto"/>
        <w:ind w:right="480"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examines the effect of accounting comparability on stock liquidity in the Vietnamese stock market. Stock liquidity represents a key dimension of market efficiency and reflects the ease of trading securities. Accounting comparability serves as an important attribute of financial information quality because it reduces information asymmetry and supports efficient capital allocation. The analysis uses a sample of non-financial listed firms from 2014 to 2024. Stock liquidity is measured using the Amihud (2002) illiquidity metric. The empirical evidence shows that higher accounting comparability is associated with lower stock liquidity. This finding implies that the impact of accounting information attributes on market liquidity depends on market characteristics and institutional conditions in emerging economies.</w:t>
      </w:r>
    </w:p>
    <w:p w:rsidR="00000000" w:rsidDel="00000000" w:rsidP="00000000" w:rsidRDefault="00000000" w:rsidRPr="00000000" w14:paraId="0000001B">
      <w:pPr>
        <w:pBdr>
          <w:bottom w:color="000000" w:space="1" w:sz="4" w:val="single"/>
        </w:pBdr>
        <w:spacing w:after="160" w:line="360"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accounting comparability, stock liquidity, information asymmetry, emerging markets, Vietnam.</w:t>
      </w:r>
      <w:r w:rsidDel="00000000" w:rsidR="00000000" w:rsidRPr="00000000">
        <w:rPr>
          <w:rtl w:val="0"/>
        </w:rPr>
      </w:r>
    </w:p>
    <w:p w:rsidR="00000000" w:rsidDel="00000000" w:rsidP="00000000" w:rsidRDefault="00000000" w:rsidRPr="00000000" w14:paraId="0000001C">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Introduction</w:t>
      </w:r>
    </w:p>
    <w:p w:rsidR="00000000" w:rsidDel="00000000" w:rsidP="00000000" w:rsidRDefault="00000000" w:rsidRPr="00000000" w14:paraId="0000001D">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investigates the relationship between accounting comparability and stock liquidity in the Vietnam stock market. Stock liquidity is a key feature of capital markets as it affects trading costs, price efficiency, and firms’ access to finance. Illiquid stocks require higher expected returns, which increases capital costs and reduces investment, while higher liquidity supports trading and risk sharing (Amihud, 2002; Majeed &amp; Yan, 2022). Low liquidity raises adverse selection and limits investors’ ability to assess firm value, reducing trading activity (Liu &amp; Suzuki, 2024). In contrast, higher liquidity lowers trading costs and improves capital allocation, especially for smaller firms (Becker-Blease &amp; Paul, 2006; Dinh &amp; Tran, 2023; Nguyen &amp; Nguyen, 2025).</w:t>
      </w:r>
    </w:p>
    <w:p w:rsidR="00000000" w:rsidDel="00000000" w:rsidP="00000000" w:rsidRDefault="00000000" w:rsidRPr="00000000" w14:paraId="0000001E">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reporting shapes the information environment that underpins liquidity. Its objective is to provide useful information for economic decisions (IASB, 2018). Comparability is an enhancing characteristic that allows users to identify similarities and differences across firms (IASB, 2018; FASB, 2010). In literature, comparability is defined as the extent to which similar economic events generate similar accounting outcomes (De Franco et al., 2011). High comparability can reduce information asymmetry, strengthen firm-specific information, and improve interpretability, although it may limit the reflection of firm-specific conditions (Imhof et al., 2018; Kim et al., 2021; Chircop, 2024; Majeed &amp; Yan, 2022). Firms with comparable reports may make more efficient decisions, while at the market level, comparability can lower uncertainty and capital costs (Chen et al., 2018; Kim, 2013).</w:t>
      </w:r>
    </w:p>
    <w:p w:rsidR="00000000" w:rsidDel="00000000" w:rsidP="00000000" w:rsidRDefault="00000000" w:rsidRPr="00000000" w14:paraId="0000001F">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 literature presents two contrasting perspectives on the relationship between accounting comparability and stock liquidity. One perspective emphasizes that higher accounting comparability improves information quality by reducing information asymmetry, which supports trading activity and enhances stock liquidity (De Franco et al., 2011; Kim, 2013; Nguyen &amp; Nguyen, 2021). Another perspective argues that stock liquidity influences information use, as liquid markets rely more on price signals and private information, which reduces the role of accounting comparability in trading decisions (Majeed &amp; Yan, 2022; Chircop, 2024). Existing empirical findings indicate that the association between accounting comparability and stock liquidity varies across market structures, firm characteristics, and institutional environments.</w:t>
      </w:r>
    </w:p>
    <w:p w:rsidR="00000000" w:rsidDel="00000000" w:rsidP="00000000" w:rsidRDefault="00000000" w:rsidRPr="00000000" w14:paraId="00000020">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Vietnam provides a relevant context to explore this question because its stock market has grown but continues to exhibit features typical of frontier markets, including low liquidity, weak investor protection, and high information asymmetry (Tran et al., 2018). For much of the sample period, Vietnam was classified as a frontier market; as a result, investor demand for comparable financial information has evolved alongside regulatory reforms and discussions surrounding IFRS adoption (FTSE Russell, 2025; Decision 2014/QD-TTg). At the firm level, differences in accounting practices increase information processing costs and limit investors’ ability to compare performance (Vo &amp; Doan, 2016; Vo, 2016). In response to these conditions, Vietnamese firms rely on financial reporting to signal quality and improve access to external financing (Liu &amp; Suzuki, 2024; Cao et al., 2021). However, limited accounting comparability may weaken trading incentives and, in turn, reduce stock liquidity (Nguyen, 2021; Nguyen &amp; Nguyen, 2021). Despite these features, empirical evidence on the effect of accounting comparability on stock liquidity in Vietnam remains limited, which motivates the present study.</w:t>
      </w:r>
    </w:p>
    <w:p w:rsidR="00000000" w:rsidDel="00000000" w:rsidP="00000000" w:rsidRDefault="00000000" w:rsidRPr="00000000" w14:paraId="00000021">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paper examines whether accounting comparability affects stock liquidity at the firm level. The analysis uses data from non-financial firms listed in Vietnam over the period from 2014 to 2024, which spans major phases of market development, including the global financial crisis, the COVID-19 pandemic, and regulatory reforms. Financial firms are excluded because they follow distinct accounting and reporting requirements. Stock liquidity represents the main outcome variable and is measured using widely adopted indicators proposed by Amihud (2002), while accounting comparability serves as the central explanatory variable and is constructed by assessing how firms within the same industry translate economic outcomes into reported earnings, following De Franco et al. (2011). The empirical models control for firm characteristics that influence trading conditions, including firm size, firm age, financial leverage, growth opportunities, stock return volatility, cash holdings, stock price, and asset tangibility (Becker-Blease &amp; Paul, 2006; Ali et al., 2017; Huang &amp; Mazouz, 2018; Majeed &amp; Yan, 2022). </w:t>
      </w:r>
    </w:p>
    <w:p w:rsidR="00000000" w:rsidDel="00000000" w:rsidP="00000000" w:rsidRDefault="00000000" w:rsidRPr="00000000" w14:paraId="00000022">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Literature review and hypothesis development</w:t>
      </w:r>
    </w:p>
    <w:p w:rsidR="00000000" w:rsidDel="00000000" w:rsidP="00000000" w:rsidRDefault="00000000" w:rsidRPr="00000000" w14:paraId="00000023">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2.1. Stock liquidity</w:t>
      </w:r>
    </w:p>
    <w:p w:rsidR="00000000" w:rsidDel="00000000" w:rsidP="00000000" w:rsidRDefault="00000000" w:rsidRPr="00000000" w14:paraId="00000024">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Stock liquidity is examined as a key market outcome reflecting transaction costs, price impact, and trading activity. Early studies in developed markets emphasize bid-ask spreads as a direct measure of trading costs and adverse selection. Corwin &amp; Schultz (2012) propose a bid-ask spread estimator based on daily high and low prices, which is widely applied in empirical studies on market liquidity, particularly when detailed quote data are unavailable. This bid-ask based framework has been extended to emerging markets, where higher informational frictions prevail. Using data from the Chinese stock market, Majeed &amp; Yan (2022) document that firms with lower bid-ask spreads exhibit higher stock liquidity, indicating reduced information asymmetry in a weaker institutional environment.</w:t>
      </w:r>
    </w:p>
    <w:p w:rsidR="00000000" w:rsidDel="00000000" w:rsidP="00000000" w:rsidRDefault="00000000" w:rsidRPr="00000000" w14:paraId="00000025">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literature extends stock liquidity measurement beyond transaction cost proxies by using price impact and trading activity indicators. Amihud (2002) introduces an illiquidity measure that captures price response to trading volume and serves as standard proxy in empirical liquidity research. Evidence from developed markets confirms applicability of this measure across the United States, United Kingdom, and Germany (Paul et al., 2025). Using market microstructure benchmarks, Będowska-Sójka (2018) documents strong association between Amihud illiquidity ratio and effective bid-ask spreads, supporting its ability to reflect trading frictions. In emerging market context, evidence from China shows that higher accounting comparability associates with lower Amihud illiquidity, indicating lower price impact and improved trading efficiency (Majeed &amp; Yan, 2022).</w:t>
      </w:r>
    </w:p>
    <w:p w:rsidR="00000000" w:rsidDel="00000000" w:rsidP="00000000" w:rsidRDefault="00000000" w:rsidRPr="00000000" w14:paraId="00000026">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Liquidity literature also captures trading activity and market depth, which reflect market capacity to absorb trades without large price changes. Theoretical framework links liquidity to trading frequency and provides foundation for turnover-based measures (Amihud &amp; Mendelson, 1986). Building on this framework, stock turnover ratio normalizes trading volume by shares outstanding and allows liquidity comparison across firms with different sizes (Datar et al., 1998). Evidence from China shows that higher financial statement comparability is associated with higher stock turnover, indicating higher trading frequency and improved stock liquidity (Majeed &amp; Yan, 2022).</w:t>
      </w:r>
    </w:p>
    <w:p w:rsidR="00000000" w:rsidDel="00000000" w:rsidP="00000000" w:rsidRDefault="00000000" w:rsidRPr="00000000" w14:paraId="00000027">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alternative approach defines liquidity in terms of market depth, measured by the market’s ability to absorb trading activity with limited price impact. In emerging markets, Sharma and Paul (2015) employ the Modified Liquidity Ratio (MLR), which relates trading volume to absolute stock returns and adjusts for firm-level volatility. Using data from the Indian stock market, they show that stocks exhibit lower liquidity and higher volatility than those in developed markets, supporting the use of volume-return-based liquidity measures. Related evidence from Pakistan indicates that liquidity in emerging markets is shaped by institutional development and market depth rather than by microstructure-based measures commonly applied in developed markets (Zafar et al., 2019). Building on this approach, Majeed and Yan (2022) apply MLR and document a positive association between financial statement comparability and market depth.  </w:t>
      </w:r>
    </w:p>
    <w:p w:rsidR="00000000" w:rsidDel="00000000" w:rsidP="00000000" w:rsidRDefault="00000000" w:rsidRPr="00000000" w14:paraId="00000028">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Vietnam, empirical research on stock liquidity is conducted in the context of a young stock market with limited transparency and shallow market depth. Domestic studies primarily rely on trading volume and turnover-based proxies to measure liquidity, reflecting data constraints and market characteristics. Using Vietnamese listed firms, Tran (2018) examines stock liquidity through trading volume and price-based indicators to analyze trading behavior in the domestic market. Similarly, Nguyen (2020) employs turnover-related measures to capture stock liquidity, emphasizing trading activity rather than market microstructure conditions. As a result, stock liquidity in Vietnam is mainly characterized by observable trading volume and price movements, while market microstructure-based measures such as bid-ask spreads or price impact proxies remain largely unexplored.</w:t>
      </w:r>
    </w:p>
    <w:p w:rsidR="00000000" w:rsidDel="00000000" w:rsidP="00000000" w:rsidRDefault="00000000" w:rsidRPr="00000000" w14:paraId="00000029">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2.2. Accounting comparability</w:t>
      </w:r>
    </w:p>
    <w:p w:rsidR="00000000" w:rsidDel="00000000" w:rsidP="00000000" w:rsidRDefault="00000000" w:rsidRPr="00000000" w14:paraId="0000002A">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statement comparability is widely recognized as an important qualitative characteristic of accounting information. Comparability enables users to identify similarities and differences in firms’ economic performance by relying on consistent accounting representations, thereby reducing information processing costs and information asymmetry in capital markets (Kim et al., 2013). Early empirical studies conducted in developed markets, especially the United States, document that improvements in accounting information quality are reflected in higher market liquidity and lower transaction costs, as captured by bid-ask-spread-based measures (Corwin &amp; Schultz, 2012). </w:t>
      </w:r>
    </w:p>
    <w:p w:rsidR="00000000" w:rsidDel="00000000" w:rsidP="00000000" w:rsidRDefault="00000000" w:rsidRPr="00000000" w14:paraId="0000002B">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Accounting comparability is not solely determined by uniform accounting standards but is also shaped by managerial reporting discretion (Imhof et al., 2018). They also show that managerial accounting choices within GAAP affect the degree of financial statement comparability across firms. As a result, financial statement comparability reflects how consistently firms map economic activities into accounting numbers, rather than being a purely mechanical outcome of standardized reporting rules. Study of Majeed &amp; Yan (2022) in emerging market settings further show that comparability facilitates the acquisition and processing of financial information, improves investors’ ability to compare investment opportunities, and reduces adverse selection costs in the stock market. By focusing on the qualitative aspects of financial reporting, their study extends prior literature by providing evidence that accounting comparability enhances market liquidity through its role in bridging information gaps among investors.</w:t>
      </w:r>
    </w:p>
    <w:p w:rsidR="00000000" w:rsidDel="00000000" w:rsidP="00000000" w:rsidRDefault="00000000" w:rsidRPr="00000000" w14:paraId="0000002C">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Vietnam, studies on accounting information quality are conducted in an emerging market setting characterized by a young stock market, weak investor protection, and incomplete IFRS adoption. Domestic research therefore approaches accounting comparability mainly from a governance and internal information perspective rather than from a capital market efficiency perspective (Nguyen and Nguyen, 2021). Early studies rely on accounting-based quality proxies and firm-level outcomes, focusing on the role of financial reporting in internal governance without examining liquidity or market microstructure effects (Tran, 2018). Within this framework, subsequent evidence shows that higher financial statement comparability constrains managerial discretion and improves reporting quality, as reflected in lower accrual-based earnings management among Vietnamese listed firms (Nguyen, 2021). Related studies further treat comparability as part of overall financial reporting quality and document a positive association between comparability and corporate cash holdings, consistent with reduced information asymmetry and agency costs (Nguyen and Nguyen, 2021).</w:t>
      </w:r>
    </w:p>
    <w:p w:rsidR="00000000" w:rsidDel="00000000" w:rsidP="00000000" w:rsidRDefault="00000000" w:rsidRPr="00000000" w14:paraId="0000002D">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2.3. Accounting comparability and stock liquidity</w:t>
      </w:r>
    </w:p>
    <w:p w:rsidR="00000000" w:rsidDel="00000000" w:rsidP="00000000" w:rsidRDefault="00000000" w:rsidRPr="00000000" w14:paraId="0000002E">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 literature establishes a clear link between accounting comparability and market liquidity across capital markets. Evidence from United States bond markets shows that higher financial statement comparability associates with lower bid-ask spreads and credit spreads, reflecting improved debt market liquidity and lower credit risk uncertainty (Kim et al., 2013). Stock market evidence from United States listed firms indicates that higher accounting comparability leads to narrower bid-ask spreads, consistent with lower adverse selection costs faced by investors (Imhof et al., 2018). Cross-market analysis covering 45 international markets shows that liquidity effects vary with firm size and market characteristics, highlighting liquidity as a key channel through which information quality influences market outcomes (Cakici &amp; Zaremba, 2021). Focusing on China, an emerging market with high information asymmetry, evidence shows that financial statement comparability reduces bid-ask spreads and Amihud illiquidity while increasing turnover-based liquidity, measured following Amihud (2002), Datar et al. (1998), and Sharma and Paul (2015), supporting the role of comparability in mitigating information asymmetry (Majeed &amp; Yan, 2022). </w:t>
      </w:r>
    </w:p>
    <w:p w:rsidR="00000000" w:rsidDel="00000000" w:rsidP="00000000" w:rsidRDefault="00000000" w:rsidRPr="00000000" w14:paraId="0000002F">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from the Vietnamese stock market links accounting information quality to stock liquidity through information asymmetry channels. Using data from listed firms, Duong (2023) reports that higher financial reporting quality associates with greater securities liquidity. Results indicate that accounting comparability, along with relevance, faithful representation, timeliness, verifiability, and understandability, relates to higher trading volume and stronger price-based liquidity measures. This evidence implies that accounting information quality improves trading conditions in Vietnam. However, domestic literature relies on composite indices of financial reporting quality and does not isolate accounting comparability as a key explanatory factor for stock liquidity. Liquidity measurement in domestic studies mainly uses trading volume and price-based indicators, rather than market microstructure proxies such as bid-ask spreads or price impact measures following Amihud (2002). This limitation motivates further examination of accounting comparability as a distinct determinant of stock liquidity in the Vietnamese market.</w:t>
      </w:r>
    </w:p>
    <w:p w:rsidR="00000000" w:rsidDel="00000000" w:rsidP="00000000" w:rsidRDefault="00000000" w:rsidRPr="00000000" w14:paraId="00000030">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a theoretical perspective, accounting comparability affects stock liquidity through its role in shaping the information environment of capital markets. Higher comparability allows investors to interpret accounting numbers more consistently across firms, reduces information processing costs, and mitigates information asymmetry between informed and uninformed traders (De Franco et al., 2011; Kim et al., 2013). In market microstructure theory, lower information asymmetry reduces adverse selection risk faced by liquidity providers, leading to narrower bid-ask spreads, lower price impact, and higher trading activity (Amihud, 2002). International evidence supports this mechanism. Studies in developed markets show that higher accounting comparability is associated with lower bid-ask spreads and higher stock liquidity (Kim et al., 2013; Imhof et al., 2018). In an emerging market setting, Majeed &amp; Yan (2022) document that financial statement comparability is negatively associated with bid-ask spreads and Amihud illiquidity, and positively associated with turnover-based liquidity. These findings suggest that comparability enhances liquidity by improving investors’ ability to compare firms operating under similar economic conditions and by reducing adverse selection costs.</w:t>
      </w:r>
    </w:p>
    <w:p w:rsidR="00000000" w:rsidDel="00000000" w:rsidP="00000000" w:rsidRDefault="00000000" w:rsidRPr="00000000" w14:paraId="00000031">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Vietnamese stock market offers a suitable setting to examine this relationship. Market features include young capital market structure, weak investor protection, high information asymmetry, and partial IFRS adoption (Tran et al., 2018; Nguyen &amp; Nguyen, 2021). These conditions increase investor dependence on financial reporting for firm valuation and risk assessment. Variation in accounting practices and managerial reporting discretion reduces financial statement comparability across firms, raises information processing costs, and may discourage trading activity. Domestic evidence shows positive association between financial reporting quality and stock liquidity, yet prior studies rely on composite reporting quality measures and volume-based liquidity proxies, without isolating accounting comparability or applying market microstructure measures (Duong, 2023). Direct evidence on the effect of accounting comparability on stock liquidity in Vietnam therefore remains limited.</w:t>
      </w:r>
    </w:p>
    <w:p w:rsidR="00000000" w:rsidDel="00000000" w:rsidP="00000000" w:rsidRDefault="00000000" w:rsidRPr="00000000" w14:paraId="00000032">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Theory and empirical evidence indicate that higher accounting comparability lowers information asymmetry and adverse selection costs, which enhances stock liquidity. These mechanisms should play a stronger role in emerging markets such as Vietnam, where information frictions remain high and investors depend more on comparable financial information. Based on this reasoning, this study develops following hypothesis:</w:t>
      </w:r>
    </w:p>
    <w:p w:rsidR="00000000" w:rsidDel="00000000" w:rsidP="00000000" w:rsidRDefault="00000000" w:rsidRPr="00000000" w14:paraId="00000033">
      <w:pPr>
        <w:spacing w:after="120" w:line="288" w:lineRule="auto"/>
        <w:ind w:firstLine="425"/>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H1: Higher accounting comparability is associated with higher stock liquidity.</w:t>
      </w:r>
    </w:p>
    <w:p w:rsidR="00000000" w:rsidDel="00000000" w:rsidP="00000000" w:rsidRDefault="00000000" w:rsidRPr="00000000" w14:paraId="00000034">
      <w:pPr>
        <w:spacing w:after="120" w:line="288"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Research method </w:t>
      </w:r>
    </w:p>
    <w:p w:rsidR="00000000" w:rsidDel="00000000" w:rsidP="00000000" w:rsidRDefault="00000000" w:rsidRPr="00000000" w14:paraId="00000036">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3.1. Model</w:t>
      </w:r>
    </w:p>
    <w:p w:rsidR="00000000" w:rsidDel="00000000" w:rsidP="00000000" w:rsidRDefault="00000000" w:rsidRPr="00000000" w14:paraId="00000037">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objective of this study is to examine the effect of financial statement comparability on stock liquidity by developing a regression model that tests the relationship between accounting comparability and stock liquidity, drawing on insights from prior studies (Majeed &amp; Yan, 2022; Chircop, 2024):</w:t>
      </w:r>
    </w:p>
    <w:p w:rsidR="00000000" w:rsidDel="00000000" w:rsidP="00000000" w:rsidRDefault="00000000" w:rsidRPr="00000000" w14:paraId="00000038">
      <w:pPr>
        <w:spacing w:after="240" w:before="200" w:line="360" w:lineRule="auto"/>
        <w:jc w:val="center"/>
        <w:rPr>
          <w:rFonts w:ascii="Times New Roman" w:cs="Times New Roman" w:eastAsia="Times New Roman" w:hAnsi="Times New Roman"/>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LIQ</m:t>
            </m:r>
          </m:e>
          <m:sub>
            <m:r>
              <w:rPr>
                <w:rFonts w:ascii="Cambria Math" w:cs="Cambria Math" w:eastAsia="Cambria Math" w:hAnsi="Cambria Math"/>
                <w:sz w:val="24"/>
                <w:szCs w:val="24"/>
              </w:rPr>
              <m:t xml:space="preserve">it</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β</m:t>
            </m:r>
          </m:e>
          <m:sub>
            <m:r>
              <w:rPr>
                <w:rFonts w:ascii="Cambria Math" w:cs="Cambria Math" w:eastAsia="Cambria Math" w:hAnsi="Cambria Math"/>
                <w:sz w:val="24"/>
                <w:szCs w:val="24"/>
              </w:rPr>
              <m:t xml:space="preserve">o</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β</m:t>
            </m:r>
          </m:e>
          <m:sub>
            <m:r>
              <w:rPr>
                <w:rFonts w:ascii="Cambria Math" w:cs="Cambria Math" w:eastAsia="Cambria Math" w:hAnsi="Cambria Math"/>
                <w:sz w:val="24"/>
                <w:szCs w:val="24"/>
              </w:rPr>
              <m:t xml:space="preserve">1</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 COMP4</m:t>
            </m:r>
          </m:e>
          <m:sub>
            <m:r>
              <w:rPr>
                <w:rFonts w:ascii="Cambria Math" w:cs="Cambria Math" w:eastAsia="Cambria Math" w:hAnsi="Cambria Math"/>
                <w:sz w:val="24"/>
                <w:szCs w:val="24"/>
              </w:rPr>
              <m:t xml:space="preserve">it </m:t>
            </m:r>
          </m:sub>
        </m:sSub>
        <m:r>
          <w:rPr>
            <w:rFonts w:ascii="Cambria Math" w:cs="Cambria Math" w:eastAsia="Cambria Math" w:hAnsi="Cambria Math"/>
            <w:sz w:val="24"/>
            <w:szCs w:val="24"/>
          </w:rPr>
          <m:t xml:space="preserve">+</m:t>
        </m:r>
        <m:nary>
          <m:naryPr>
            <m:chr m:val="∑"/>
            <m:ctrlPr>
              <w:rPr>
                <w:rFonts w:ascii="Cambria Math" w:cs="Cambria Math" w:eastAsia="Cambria Math" w:hAnsi="Cambria Math"/>
                <w:sz w:val="24"/>
                <w:szCs w:val="24"/>
              </w:rPr>
            </m:ctrlPr>
          </m:naryPr>
          <m:sub>
            <m:r>
              <w:rPr>
                <w:rFonts w:ascii="Cambria Math" w:cs="Cambria Math" w:eastAsia="Cambria Math" w:hAnsi="Cambria Math"/>
                <w:sz w:val="24"/>
                <w:szCs w:val="24"/>
              </w:rPr>
              <m:t xml:space="preserve"> </m:t>
            </m:r>
          </m:sub>
          <m:sup>
            <m:r>
              <w:rPr>
                <w:rFonts w:ascii="Cambria Math" w:cs="Cambria Math" w:eastAsia="Cambria Math" w:hAnsi="Cambria Math"/>
                <w:sz w:val="24"/>
                <w:szCs w:val="24"/>
              </w:rPr>
              <m:t xml:space="preserve"> </m:t>
            </m:r>
          </m:sup>
        </m:nary>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β</m:t>
            </m:r>
          </m:e>
          <m:sub>
            <m:r>
              <w:rPr>
                <w:rFonts w:ascii="Cambria Math" w:cs="Cambria Math" w:eastAsia="Cambria Math" w:hAnsi="Cambria Math"/>
                <w:sz w:val="24"/>
                <w:szCs w:val="24"/>
              </w:rPr>
              <m:t xml:space="preserve">2</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Controls</m:t>
            </m:r>
          </m:e>
          <m:sub>
            <m:r>
              <w:rPr>
                <w:rFonts w:ascii="Cambria Math" w:cs="Cambria Math" w:eastAsia="Cambria Math" w:hAnsi="Cambria Math"/>
                <w:sz w:val="24"/>
                <w:szCs w:val="24"/>
              </w:rPr>
              <m:t xml:space="preserve">it</m:t>
            </m:r>
          </m:sub>
        </m:sSub>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 </w:t>
      </w:r>
      <m:oMath>
        <m:sSub>
          <m:sSubPr>
            <m:ctrlPr>
              <w:rPr>
                <w:rFonts w:ascii="Cambria Math" w:cs="Cambria Math" w:eastAsia="Cambria Math" w:hAnsi="Cambria Math"/>
                <w:sz w:val="24"/>
                <w:szCs w:val="24"/>
              </w:rPr>
            </m:ctrlPr>
          </m:sSubPr>
          <m:e>
            <m:r>
              <m:t>ε</m:t>
            </m:r>
          </m:e>
          <m:sub>
            <m:r>
              <w:rPr>
                <w:rFonts w:ascii="Cambria Math" w:cs="Cambria Math" w:eastAsia="Cambria Math" w:hAnsi="Cambria Math"/>
                <w:sz w:val="24"/>
                <w:szCs w:val="24"/>
              </w:rPr>
              <m:t xml:space="preserve">it</m:t>
            </m:r>
          </m:sub>
        </m:sSub>
      </m:oMath>
      <w:r w:rsidDel="00000000" w:rsidR="00000000" w:rsidRPr="00000000">
        <w:rPr>
          <w:rFonts w:ascii="Times New Roman" w:cs="Times New Roman" w:eastAsia="Times New Roman" w:hAnsi="Times New Roman"/>
          <w:sz w:val="24"/>
          <w:szCs w:val="24"/>
          <w:rtl w:val="0"/>
        </w:rPr>
        <w:t xml:space="preserve"> (I)</w:t>
      </w:r>
    </w:p>
    <w:p w:rsidR="00000000" w:rsidDel="00000000" w:rsidP="00000000" w:rsidRDefault="00000000" w:rsidRPr="00000000" w14:paraId="00000039">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model,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LIQ</m:t>
            </m:r>
          </m:e>
          <m:sub>
            <m:r>
              <w:rPr>
                <w:rFonts w:ascii="Cambria Math" w:cs="Cambria Math" w:eastAsia="Cambria Math" w:hAnsi="Cambria Math"/>
                <w:sz w:val="24"/>
                <w:szCs w:val="24"/>
              </w:rPr>
              <m:t xml:space="preserve">it</m:t>
            </m:r>
          </m:sub>
        </m:sSub>
      </m:oMath>
      <w:r w:rsidDel="00000000" w:rsidR="00000000" w:rsidRPr="00000000">
        <w:rPr>
          <w:rFonts w:ascii="Times New Roman" w:cs="Times New Roman" w:eastAsia="Times New Roman" w:hAnsi="Times New Roman"/>
          <w:sz w:val="24"/>
          <w:szCs w:val="24"/>
          <w:rtl w:val="0"/>
        </w:rPr>
        <w:t xml:space="preserve"> denotes stock liquidity of firm i in year t,</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 COMP4</m:t>
            </m:r>
          </m:e>
          <m:sub>
            <m:r>
              <w:rPr>
                <w:rFonts w:ascii="Cambria Math" w:cs="Cambria Math" w:eastAsia="Cambria Math" w:hAnsi="Cambria Math"/>
                <w:sz w:val="24"/>
                <w:szCs w:val="24"/>
              </w:rPr>
              <m:t xml:space="preserve">it </m:t>
            </m:r>
          </m:sub>
        </m:sSub>
      </m:oMath>
      <w:r w:rsidDel="00000000" w:rsidR="00000000" w:rsidRPr="00000000">
        <w:rPr>
          <w:rFonts w:ascii="Times New Roman" w:cs="Times New Roman" w:eastAsia="Times New Roman" w:hAnsi="Times New Roman"/>
          <w:sz w:val="24"/>
          <w:szCs w:val="24"/>
          <w:rtl w:val="0"/>
        </w:rPr>
        <w:t xml:space="preserve"> represents financial statement comparability, and Controlsit is a vector of firm-level control variables that may affect trading conditions. The term captures the error component, while subscripts i and t index firm and year, respectively. The coefficient </w:t>
      </w:r>
      <m:oMath>
        <m:sSub>
          <m:sSubPr>
            <m:ctrlPr>
              <w:rPr>
                <w:rFonts w:ascii="Cambria Math" w:cs="Cambria Math" w:eastAsia="Cambria Math" w:hAnsi="Cambria Math"/>
                <w:sz w:val="24"/>
                <w:szCs w:val="24"/>
              </w:rPr>
            </m:ctrlPr>
          </m:sSubPr>
          <m:e>
            <m:r>
              <m:t>β</m:t>
            </m:r>
          </m:e>
          <m:sub>
            <m:r>
              <w:rPr>
                <w:rFonts w:ascii="Cambria Math" w:cs="Cambria Math" w:eastAsia="Cambria Math" w:hAnsi="Cambria Math"/>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reflects the marginal effect of accounting comparability on stock liquidity after controlling for firm characteristics. The model includes control variables to account for firm characteristics that may affect liquidity. Following prior research (Becker-Blease &amp; Paul, 2006; Ali et al., 2017; Huang &amp; Mazouz, 2018; Majeed &amp; Yan, 2022), the control variables include firm size (SIZE), firm age (AGE), financial leverage (LEV), growth opportunities (MTB), stock return volatility (VOL), cash balance (CB), stock price (PRICE), and asset tangibility (PPE). These controls help isolate the effect of accounting comparability on stock liquidity.</w:t>
      </w:r>
    </w:p>
    <w:p w:rsidR="00000000" w:rsidDel="00000000" w:rsidP="00000000" w:rsidRDefault="00000000" w:rsidRPr="00000000" w14:paraId="0000003A">
      <w:pPr>
        <w:spacing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Stock liquidity measures the ability to trade large quantities of shares at low cost with minimal price impact (Harris, 2003; Liu, 2006). This study uses the Amihud (2002) illiquidity ratio to capture liquidity. It is calculated for stock i in year y as:</w:t>
      </w:r>
    </w:p>
    <w:p w:rsidR="00000000" w:rsidDel="00000000" w:rsidP="00000000" w:rsidRDefault="00000000" w:rsidRPr="00000000" w14:paraId="0000003B">
      <w:pPr>
        <w:spacing w:after="240" w:before="240" w:line="360" w:lineRule="auto"/>
        <w:jc w:val="center"/>
        <w:rPr>
          <w:rFonts w:ascii="Times New Roman" w:cs="Times New Roman" w:eastAsia="Times New Roman" w:hAnsi="Times New Roman"/>
          <w:sz w:val="26"/>
          <w:szCs w:val="26"/>
        </w:rPr>
      </w:pPr>
      <m:oMath>
        <m:sSub>
          <m:sSubPr>
            <m:ctrlPr>
              <w:rPr>
                <w:rFonts w:ascii="Cambria Math" w:cs="Cambria Math" w:eastAsia="Cambria Math" w:hAnsi="Cambria Math"/>
                <w:sz w:val="26"/>
                <w:szCs w:val="26"/>
              </w:rPr>
            </m:ctrlPr>
          </m:sSubPr>
          <m:e>
            <m:r>
              <w:rPr>
                <w:rFonts w:ascii="Cambria Math" w:cs="Cambria Math" w:eastAsia="Cambria Math" w:hAnsi="Cambria Math"/>
                <w:sz w:val="26"/>
                <w:szCs w:val="26"/>
              </w:rPr>
              <m:t xml:space="preserve">LIQ</m:t>
            </m:r>
          </m:e>
          <m:sub>
            <m:r>
              <w:rPr>
                <w:rFonts w:ascii="Cambria Math" w:cs="Cambria Math" w:eastAsia="Cambria Math" w:hAnsi="Cambria Math"/>
                <w:sz w:val="26"/>
                <w:szCs w:val="26"/>
              </w:rPr>
              <m:t xml:space="preserve">iy</m:t>
            </m:r>
          </m:sub>
        </m:sSub>
      </m:oMath>
      <w:r w:rsidDel="00000000" w:rsidR="00000000" w:rsidRPr="00000000">
        <w:rPr>
          <w:rFonts w:ascii="Times New Roman" w:cs="Times New Roman" w:eastAsia="Times New Roman" w:hAnsi="Times New Roman"/>
          <w:sz w:val="26"/>
          <w:szCs w:val="26"/>
          <w:rtl w:val="0"/>
        </w:rPr>
        <w:t xml:space="preserve"> = </w:t>
      </w:r>
      <m:oMath>
        <m:f>
          <m:fPr>
            <m:ctrlPr>
              <w:rPr>
                <w:rFonts w:ascii="Cambria Math" w:cs="Cambria Math" w:eastAsia="Cambria Math" w:hAnsi="Cambria Math"/>
                <w:sz w:val="26"/>
                <w:szCs w:val="26"/>
              </w:rPr>
            </m:ctrlPr>
          </m:fPr>
          <m:num>
            <m:r>
              <w:rPr>
                <w:rFonts w:ascii="Cambria Math" w:cs="Cambria Math" w:eastAsia="Cambria Math" w:hAnsi="Cambria Math"/>
                <w:sz w:val="26"/>
                <w:szCs w:val="26"/>
              </w:rPr>
              <m:t xml:space="preserve">1</m:t>
            </m:r>
          </m:num>
          <m:den>
            <m:sSub>
              <m:sSubPr>
                <m:ctrlPr>
                  <w:rPr>
                    <w:rFonts w:ascii="Cambria Math" w:cs="Cambria Math" w:eastAsia="Cambria Math" w:hAnsi="Cambria Math"/>
                    <w:sz w:val="26"/>
                    <w:szCs w:val="26"/>
                  </w:rPr>
                </m:ctrlPr>
              </m:sSubPr>
              <m:e>
                <m:r>
                  <w:rPr>
                    <w:rFonts w:ascii="Cambria Math" w:cs="Cambria Math" w:eastAsia="Cambria Math" w:hAnsi="Cambria Math"/>
                    <w:sz w:val="26"/>
                    <w:szCs w:val="26"/>
                  </w:rPr>
                  <m:t xml:space="preserve">D</m:t>
                </m:r>
              </m:e>
              <m:sub>
                <m:r>
                  <w:rPr>
                    <w:rFonts w:ascii="Cambria Math" w:cs="Cambria Math" w:eastAsia="Cambria Math" w:hAnsi="Cambria Math"/>
                    <w:sz w:val="26"/>
                    <w:szCs w:val="26"/>
                  </w:rPr>
                  <m:t xml:space="preserve">it</m:t>
                </m:r>
              </m:sub>
            </m:sSub>
          </m:den>
        </m:f>
        <m:r>
          <w:rPr>
            <w:rFonts w:ascii="Cambria Math" w:cs="Cambria Math" w:eastAsia="Cambria Math" w:hAnsi="Cambria Math"/>
            <w:sz w:val="26"/>
            <w:szCs w:val="26"/>
          </w:rPr>
          <m:t xml:space="preserve"> </m:t>
        </m:r>
        <m:nary>
          <m:naryPr>
            <m:chr m:val="∑"/>
            <m:ctrlPr>
              <w:rPr>
                <w:rFonts w:ascii="Cambria Math" w:cs="Cambria Math" w:eastAsia="Cambria Math" w:hAnsi="Cambria Math"/>
                <w:sz w:val="26"/>
                <w:szCs w:val="26"/>
              </w:rPr>
            </m:ctrlPr>
          </m:naryPr>
          <m:sub>
            <m:r>
              <w:rPr>
                <w:rFonts w:ascii="Cambria Math" w:cs="Cambria Math" w:eastAsia="Cambria Math" w:hAnsi="Cambria Math"/>
                <w:sz w:val="26"/>
                <w:szCs w:val="26"/>
              </w:rPr>
              <m:t xml:space="preserve">d=1</m:t>
            </m:r>
          </m:sub>
          <m:sup>
            <m:sSub>
              <m:sSubPr>
                <m:ctrlPr>
                  <w:rPr>
                    <w:rFonts w:ascii="Cambria Math" w:cs="Cambria Math" w:eastAsia="Cambria Math" w:hAnsi="Cambria Math"/>
                    <w:sz w:val="26"/>
                    <w:szCs w:val="26"/>
                  </w:rPr>
                </m:ctrlPr>
              </m:sSubPr>
              <m:e>
                <m:r>
                  <w:rPr>
                    <w:rFonts w:ascii="Cambria Math" w:cs="Cambria Math" w:eastAsia="Cambria Math" w:hAnsi="Cambria Math"/>
                    <w:sz w:val="26"/>
                    <w:szCs w:val="26"/>
                  </w:rPr>
                  <m:t xml:space="preserve">D</m:t>
                </m:r>
              </m:e>
              <m:sub>
                <m:r>
                  <w:rPr>
                    <w:rFonts w:ascii="Cambria Math" w:cs="Cambria Math" w:eastAsia="Cambria Math" w:hAnsi="Cambria Math"/>
                    <w:sz w:val="26"/>
                    <w:szCs w:val="26"/>
                  </w:rPr>
                  <m:t xml:space="preserve">iy</m:t>
                </m:r>
              </m:sub>
            </m:sSub>
          </m:sup>
        </m:nary>
        <m:f>
          <m:fPr>
            <m:ctrlPr>
              <w:rPr>
                <w:rFonts w:ascii="Cambria Math" w:cs="Cambria Math" w:eastAsia="Cambria Math" w:hAnsi="Cambria Math"/>
                <w:sz w:val="26"/>
                <w:szCs w:val="26"/>
              </w:rPr>
            </m:ctrlPr>
          </m:fPr>
          <m:num>
            <m:d>
              <m:dPr>
                <m:begChr m:val="|"/>
                <m:endChr m:val="|"/>
                <m:ctrlPr>
                  <w:rPr>
                    <w:rFonts w:ascii="Cambria Math" w:cs="Cambria Math" w:eastAsia="Cambria Math" w:hAnsi="Cambria Math"/>
                    <w:sz w:val="26"/>
                    <w:szCs w:val="26"/>
                  </w:rPr>
                </m:ctrlPr>
              </m:dPr>
              <m:e>
                <m:sSub>
                  <m:sSubPr>
                    <m:ctrlPr>
                      <w:rPr>
                        <w:rFonts w:ascii="Cambria Math" w:cs="Cambria Math" w:eastAsia="Cambria Math" w:hAnsi="Cambria Math"/>
                        <w:sz w:val="26"/>
                        <w:szCs w:val="26"/>
                      </w:rPr>
                    </m:ctrlPr>
                  </m:sSubPr>
                  <m:e>
                    <m:r>
                      <w:rPr>
                        <w:rFonts w:ascii="Cambria Math" w:cs="Cambria Math" w:eastAsia="Cambria Math" w:hAnsi="Cambria Math"/>
                        <w:sz w:val="26"/>
                        <w:szCs w:val="26"/>
                      </w:rPr>
                      <m:t xml:space="preserve">R</m:t>
                    </m:r>
                  </m:e>
                  <m:sub>
                    <m:r>
                      <w:rPr>
                        <w:rFonts w:ascii="Cambria Math" w:cs="Cambria Math" w:eastAsia="Cambria Math" w:hAnsi="Cambria Math"/>
                        <w:sz w:val="26"/>
                        <w:szCs w:val="26"/>
                      </w:rPr>
                      <m:t xml:space="preserve">iyd</m:t>
                    </m:r>
                  </m:sub>
                </m:sSub>
              </m:e>
            </m:d>
          </m:num>
          <m:den>
            <m:sSub>
              <m:sSubPr>
                <m:ctrlPr>
                  <w:rPr>
                    <w:rFonts w:ascii="Cambria Math" w:cs="Cambria Math" w:eastAsia="Cambria Math" w:hAnsi="Cambria Math"/>
                    <w:sz w:val="26"/>
                    <w:szCs w:val="26"/>
                  </w:rPr>
                </m:ctrlPr>
              </m:sSubPr>
              <m:e>
                <m:r>
                  <w:rPr>
                    <w:rFonts w:ascii="Cambria Math" w:cs="Cambria Math" w:eastAsia="Cambria Math" w:hAnsi="Cambria Math"/>
                    <w:sz w:val="26"/>
                    <w:szCs w:val="26"/>
                  </w:rPr>
                  <m:t xml:space="preserve">VOLD</m:t>
                </m:r>
              </m:e>
              <m:sub>
                <m:r>
                  <w:rPr>
                    <w:rFonts w:ascii="Cambria Math" w:cs="Cambria Math" w:eastAsia="Cambria Math" w:hAnsi="Cambria Math"/>
                    <w:sz w:val="26"/>
                    <w:szCs w:val="26"/>
                  </w:rPr>
                  <m:t xml:space="preserve">iyd</m:t>
                </m:r>
              </m:sub>
            </m:sSub>
          </m:den>
        </m:f>
        <m:r>
          <w:rPr>
            <w:rFonts w:ascii="Cambria Math" w:cs="Cambria Math" w:eastAsia="Cambria Math" w:hAnsi="Cambria Math"/>
            <w:sz w:val="26"/>
            <w:szCs w:val="26"/>
          </w:rPr>
          <m:t xml:space="preserve"> *1</m:t>
        </m:r>
        <m:sSup>
          <m:sSupPr>
            <m:ctrlPr>
              <w:rPr>
                <w:rFonts w:ascii="Cambria Math" w:cs="Cambria Math" w:eastAsia="Cambria Math" w:hAnsi="Cambria Math"/>
                <w:sz w:val="26"/>
                <w:szCs w:val="26"/>
              </w:rPr>
            </m:ctrlPr>
          </m:sSupPr>
          <m:e>
            <m:r>
              <w:rPr>
                <w:rFonts w:ascii="Cambria Math" w:cs="Cambria Math" w:eastAsia="Cambria Math" w:hAnsi="Cambria Math"/>
                <w:sz w:val="26"/>
                <w:szCs w:val="26"/>
              </w:rPr>
              <m:t xml:space="preserve">0</m:t>
            </m:r>
          </m:e>
          <m:sup>
            <m:r>
              <w:rPr>
                <w:rFonts w:ascii="Cambria Math" w:cs="Cambria Math" w:eastAsia="Cambria Math" w:hAnsi="Cambria Math"/>
                <w:sz w:val="26"/>
                <w:szCs w:val="26"/>
              </w:rPr>
              <m:t xml:space="preserve">6</m:t>
            </m:r>
          </m:sup>
        </m:sSup>
        <m:r>
          <w:rPr>
            <w:rFonts w:ascii="Cambria Math" w:cs="Cambria Math" w:eastAsia="Cambria Math" w:hAnsi="Cambria Math"/>
            <w:sz w:val="26"/>
            <w:szCs w:val="26"/>
          </w:rPr>
          <m:t xml:space="preserve">*(-1) </m:t>
        </m:r>
      </m:oMath>
      <w:r w:rsidDel="00000000" w:rsidR="00000000" w:rsidRPr="00000000">
        <w:rPr>
          <w:rFonts w:ascii="Times New Roman" w:cs="Times New Roman" w:eastAsia="Times New Roman" w:hAnsi="Times New Roman"/>
          <w:sz w:val="26"/>
          <w:szCs w:val="26"/>
          <w:rtl w:val="0"/>
        </w:rPr>
        <w:t xml:space="preserve"> (II)</w:t>
      </w:r>
    </w:p>
    <w:p w:rsidR="00000000" w:rsidDel="00000000" w:rsidP="00000000" w:rsidRDefault="00000000" w:rsidRPr="00000000" w14:paraId="0000003C">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|Riyd| is the absolute daily return and VOLDiyd is the daily trading value in Vietnamese Dong. Diy​ denotes the number of trading days with non-zero volume. Multiplying by -1 converts the illiquidity measure into liquidity, so higher values indicate higher liquidity. Moreover, the scaling factor 106 adjusts for currency units.</w:t>
        <w:tab/>
      </w:r>
    </w:p>
    <w:p w:rsidR="00000000" w:rsidDel="00000000" w:rsidP="00000000" w:rsidRDefault="00000000" w:rsidRPr="00000000" w14:paraId="0000003D">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Accounting comparability captures the extent to which similar economic events produce similar financial statements across firms (De Franco et al., 2011). We apply the output-based method of De Franco et al. (2011), which estimates a firm-specific earnings function using quarterly earnings scaled by the beginning market value of equity and stock returns as proxies for economic events: The accounting function for firm i is estimated as:</w:t>
        <w:tab/>
      </w:r>
    </w:p>
    <w:p w:rsidR="00000000" w:rsidDel="00000000" w:rsidP="00000000" w:rsidRDefault="00000000" w:rsidRPr="00000000" w14:paraId="0000003E">
      <w:pPr>
        <w:spacing w:after="240" w:before="200" w:line="360" w:lineRule="auto"/>
        <w:jc w:val="center"/>
        <w:rPr>
          <w:rFonts w:ascii="Times New Roman" w:cs="Times New Roman" w:eastAsia="Times New Roman" w:hAnsi="Times New Roman"/>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Earnings</m:t>
            </m:r>
          </m:e>
          <m:sub>
            <m:r>
              <w:rPr>
                <w:rFonts w:ascii="Cambria Math" w:cs="Cambria Math" w:eastAsia="Cambria Math" w:hAnsi="Cambria Math"/>
                <w:sz w:val="24"/>
                <w:szCs w:val="24"/>
              </w:rPr>
              <m:t xml:space="preserve">it</m:t>
            </m:r>
          </m:sub>
        </m:sSub>
        <m:r>
          <w:rPr>
            <w:rFonts w:ascii="Cambria Math" w:cs="Cambria Math" w:eastAsia="Cambria Math" w:hAnsi="Cambria Math"/>
            <w:sz w:val="24"/>
            <w:szCs w:val="24"/>
          </w:rPr>
          <m:t xml:space="preserve"> =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α</m:t>
            </m:r>
          </m:e>
          <m:sub>
            <m:r>
              <w:rPr>
                <w:rFonts w:ascii="Cambria Math" w:cs="Cambria Math" w:eastAsia="Cambria Math" w:hAnsi="Cambria Math"/>
                <w:sz w:val="24"/>
                <w:szCs w:val="24"/>
              </w:rPr>
              <m:t xml:space="preserve">i</m:t>
            </m:r>
          </m:sub>
        </m:sSub>
        <m:r>
          <w:rPr>
            <w:rFonts w:ascii="Cambria Math" w:cs="Cambria Math" w:eastAsia="Cambria Math" w:hAnsi="Cambria Math"/>
            <w:sz w:val="24"/>
            <w:szCs w:val="24"/>
          </w:rPr>
          <m:t xml:space="preserve"> +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β</m:t>
            </m:r>
          </m:e>
          <m:sub>
            <m:r>
              <w:rPr>
                <w:rFonts w:ascii="Cambria Math" w:cs="Cambria Math" w:eastAsia="Cambria Math" w:hAnsi="Cambria Math"/>
                <w:sz w:val="24"/>
                <w:szCs w:val="24"/>
              </w:rPr>
              <m:t xml:space="preserve">i</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Returns</m:t>
            </m:r>
          </m:e>
          <m:sub>
            <m:r>
              <w:rPr>
                <w:rFonts w:ascii="Cambria Math" w:cs="Cambria Math" w:eastAsia="Cambria Math" w:hAnsi="Cambria Math"/>
                <w:sz w:val="24"/>
                <w:szCs w:val="24"/>
              </w:rPr>
              <m:t xml:space="preserve">it</m:t>
            </m:r>
          </m:sub>
        </m:sSub>
        <m:r>
          <w:rPr>
            <w:rFonts w:ascii="Cambria Math" w:cs="Cambria Math" w:eastAsia="Cambria Math" w:hAnsi="Cambria Math"/>
            <w:sz w:val="24"/>
            <w:szCs w:val="24"/>
          </w:rPr>
          <m:t xml:space="preserve"> +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ϵ</m:t>
            </m:r>
          </m:e>
          <m:sub>
            <m:r>
              <w:rPr>
                <w:rFonts w:ascii="Cambria Math" w:cs="Cambria Math" w:eastAsia="Cambria Math" w:hAnsi="Cambria Math"/>
                <w:sz w:val="24"/>
                <w:szCs w:val="24"/>
              </w:rPr>
              <m:t xml:space="preserve">it</m:t>
            </m:r>
          </m:sub>
        </m:sSub>
      </m:oMath>
      <w:r w:rsidDel="00000000" w:rsidR="00000000" w:rsidRPr="00000000">
        <w:rPr>
          <w:rFonts w:ascii="Times New Roman" w:cs="Times New Roman" w:eastAsia="Times New Roman" w:hAnsi="Times New Roman"/>
          <w:sz w:val="24"/>
          <w:szCs w:val="24"/>
          <w:rtl w:val="0"/>
        </w:rPr>
        <w:t xml:space="preserve"> (III)</w:t>
      </w:r>
    </w:p>
    <w:p w:rsidR="00000000" w:rsidDel="00000000" w:rsidP="00000000" w:rsidRDefault="00000000" w:rsidRPr="00000000" w14:paraId="0000003F">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Predicted earnings reflect the firm’s accounting response to shared economic events. Comparability between firms i and j is calculated as the negative average absolute difference of predicted earnings over 16 quarters:</w:t>
      </w:r>
    </w:p>
    <w:p w:rsidR="00000000" w:rsidDel="00000000" w:rsidP="00000000" w:rsidRDefault="00000000" w:rsidRPr="00000000" w14:paraId="00000040">
      <w:pPr>
        <w:spacing w:line="360" w:lineRule="auto"/>
        <w:jc w:val="center"/>
        <w:rPr>
          <w:rFonts w:ascii="Times New Roman" w:cs="Times New Roman" w:eastAsia="Times New Roman" w:hAnsi="Times New Roman"/>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COMP</m:t>
            </m:r>
          </m:e>
          <m:sub>
            <m:r>
              <w:rPr>
                <w:rFonts w:ascii="Cambria Math" w:cs="Cambria Math" w:eastAsia="Cambria Math" w:hAnsi="Cambria Math"/>
                <w:sz w:val="24"/>
                <w:szCs w:val="24"/>
              </w:rPr>
              <m:t xml:space="preserve">ijt</m:t>
            </m:r>
          </m:sub>
        </m:sSub>
      </m:oMath>
      <w:r w:rsidDel="00000000" w:rsidR="00000000" w:rsidRPr="00000000">
        <w:rPr>
          <w:rFonts w:ascii="Times New Roman" w:cs="Times New Roman" w:eastAsia="Times New Roman" w:hAnsi="Times New Roman"/>
          <w:sz w:val="24"/>
          <w:szCs w:val="24"/>
          <w:rtl w:val="0"/>
        </w:rPr>
        <w:t xml:space="preserve">=</w:t>
      </w:r>
      <m:oMath>
        <m:r>
          <w:rPr>
            <w:rFonts w:ascii="Cambria Math" w:cs="Cambria Math" w:eastAsia="Cambria Math" w:hAnsi="Cambria Math"/>
            <w:sz w:val="24"/>
            <w:szCs w:val="24"/>
          </w:rPr>
          <m:t xml:space="preserve"> -</m:t>
        </m:r>
        <m:f>
          <m:fPr>
            <m:ctrlPr>
              <w:rPr>
                <w:rFonts w:ascii="Cambria Math" w:cs="Cambria Math" w:eastAsia="Cambria Math" w:hAnsi="Cambria Math"/>
                <w:sz w:val="24"/>
                <w:szCs w:val="24"/>
              </w:rPr>
            </m:ctrlPr>
          </m:fPr>
          <m:num>
            <m:r>
              <w:rPr>
                <w:rFonts w:ascii="Cambria Math" w:cs="Cambria Math" w:eastAsia="Cambria Math" w:hAnsi="Cambria Math"/>
                <w:sz w:val="24"/>
                <w:szCs w:val="24"/>
              </w:rPr>
              <m:t xml:space="preserve">1</m:t>
            </m:r>
          </m:num>
          <m:den>
            <m:r>
              <w:rPr>
                <w:rFonts w:ascii="Cambria Math" w:cs="Cambria Math" w:eastAsia="Cambria Math" w:hAnsi="Cambria Math"/>
                <w:sz w:val="24"/>
                <w:szCs w:val="24"/>
              </w:rPr>
              <m:t xml:space="preserve">16</m:t>
            </m:r>
          </m:den>
        </m:f>
      </m:oMath>
      <w:r w:rsidDel="00000000" w:rsidR="00000000" w:rsidRPr="00000000">
        <w:rPr>
          <w:rFonts w:ascii="Times New Roman" w:cs="Times New Roman" w:eastAsia="Times New Roman" w:hAnsi="Times New Roman"/>
          <w:sz w:val="24"/>
          <w:szCs w:val="24"/>
          <w:rtl w:val="0"/>
        </w:rPr>
        <w:t xml:space="preserve"> </w:t>
      </w:r>
      <m:oMath>
        <m:nary>
          <m:naryPr>
            <m:chr m:val="∑"/>
            <m:ctrlPr>
              <w:rPr>
                <w:rFonts w:ascii="Cambria Math" w:cs="Cambria Math" w:eastAsia="Cambria Math" w:hAnsi="Cambria Math"/>
                <w:sz w:val="24"/>
                <w:szCs w:val="24"/>
              </w:rPr>
            </m:ctrlPr>
          </m:naryPr>
          <m:sub>
            <m:r>
              <w:rPr>
                <w:rFonts w:ascii="Cambria Math" w:cs="Cambria Math" w:eastAsia="Cambria Math" w:hAnsi="Cambria Math"/>
                <w:sz w:val="24"/>
                <w:szCs w:val="24"/>
              </w:rPr>
              <m:t xml:space="preserve">t - 15</m:t>
            </m:r>
          </m:sub>
          <m:sup>
            <m:r>
              <w:rPr>
                <w:rFonts w:ascii="Cambria Math" w:cs="Cambria Math" w:eastAsia="Cambria Math" w:hAnsi="Cambria Math"/>
                <w:sz w:val="24"/>
                <w:szCs w:val="24"/>
              </w:rPr>
              <m:t xml:space="preserve">t</m:t>
            </m:r>
          </m:sup>
        </m:nary>
        <m:r>
          <w:rPr>
            <w:rFonts w:ascii="Cambria Math" w:cs="Cambria Math" w:eastAsia="Cambria Math" w:hAnsi="Cambria Math"/>
            <w:sz w:val="24"/>
            <w:szCs w:val="24"/>
          </w:rPr>
          <m:t xml:space="preserve">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E</m:t>
            </m:r>
            <m:d>
              <m:dPr>
                <m:begChr m:val="("/>
                <m:endChr m:val=")"/>
                <m:ctrlPr>
                  <w:rPr>
                    <w:rFonts w:ascii="Cambria Math" w:cs="Cambria Math" w:eastAsia="Cambria Math" w:hAnsi="Cambria Math"/>
                    <w:sz w:val="24"/>
                    <w:szCs w:val="24"/>
                  </w:rPr>
                </m:ctrlPr>
              </m:dPr>
              <m:e>
                <m:r>
                  <w:rPr>
                    <w:rFonts w:ascii="Cambria Math" w:cs="Cambria Math" w:eastAsia="Cambria Math" w:hAnsi="Cambria Math"/>
                    <w:sz w:val="24"/>
                    <w:szCs w:val="24"/>
                  </w:rPr>
                  <m:t xml:space="preserve">Earnings</m:t>
                </m:r>
              </m:e>
            </m:d>
          </m:e>
          <m:sub>
            <m:r>
              <w:rPr>
                <w:rFonts w:ascii="Cambria Math" w:cs="Cambria Math" w:eastAsia="Cambria Math" w:hAnsi="Cambria Math"/>
                <w:sz w:val="24"/>
                <w:szCs w:val="24"/>
              </w:rPr>
              <m:t xml:space="preserve">iit</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E(Earnings)</m:t>
            </m:r>
          </m:e>
          <m:sub>
            <m:r>
              <w:rPr>
                <w:rFonts w:ascii="Cambria Math" w:cs="Cambria Math" w:eastAsia="Cambria Math" w:hAnsi="Cambria Math"/>
                <w:sz w:val="24"/>
                <w:szCs w:val="24"/>
              </w:rPr>
              <m:t xml:space="preserve">ijt</m:t>
            </m:r>
          </m:sub>
        </m:sSub>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  (IV)</w:t>
      </w:r>
    </w:p>
    <w:p w:rsidR="00000000" w:rsidDel="00000000" w:rsidP="00000000" w:rsidRDefault="00000000" w:rsidRPr="00000000" w14:paraId="00000041">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smaller difference indicates higher similarity, and the negative sign ensures that higher values correspond to higher comparability. The variable COMP4 represents the mean comparability of the four most similar firms to firm i within the same industry.</w:t>
      </w:r>
    </w:p>
    <w:p w:rsidR="00000000" w:rsidDel="00000000" w:rsidP="00000000" w:rsidRDefault="00000000" w:rsidRPr="00000000" w14:paraId="00000042">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3.2. Sample and data</w:t>
      </w:r>
    </w:p>
    <w:p w:rsidR="00000000" w:rsidDel="00000000" w:rsidP="00000000" w:rsidRDefault="00000000" w:rsidRPr="00000000" w14:paraId="00000043">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examines the impact of accounting comparability on stock liquidity using a panel of non-financial firms listed on Vietnamese exchanges from 2014 to 2024. Vietnam was classified as a frontier market for most of this period, characterized by low liquidity, weak investor protection, and high information asymmetry (Dinh &amp; Tran, 2023; Tran et al., 2018). Regulatory reforms and IFRS adoption discussions increased the relevance of comparable financial information. These conditions make Vietnam suitable for examining whether differences in accounting practices affect trading and liquidity (Vo, 2016; Liu &amp; Suzuki, 2024). Financial firms are excluded because they follow specialized accounting rules and regulations (Nguyen, 2021; Tran &amp; Tran, 2024).</w:t>
      </w:r>
    </w:p>
    <w:p w:rsidR="00000000" w:rsidDel="00000000" w:rsidP="00000000" w:rsidRDefault="00000000" w:rsidRPr="00000000" w14:paraId="00000044">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construct the dataset by merging financial and price data to produce an annual panel for regression analysis. Financial data provide the variables needed to measure firm-level comparability, while price data capture liquidity proxies. We clean and arrange the data by retaining firms with consolidated statements, consistent December 31 year-ends, at least 16 consecutive quarters of data, and limited trading suspensions, while excluding financial firms. After cleaning and merging, the final sample includes 256 firms with approximately 2816 observations. The merged annual dataset provides the basis for examining the effect of accounting comparability on stock liquidity.</w:t>
      </w:r>
    </w:p>
    <w:p w:rsidR="00000000" w:rsidDel="00000000" w:rsidP="00000000" w:rsidRDefault="00000000" w:rsidRPr="00000000" w14:paraId="00000045">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Results and discussion</w:t>
      </w:r>
    </w:p>
    <w:p w:rsidR="00000000" w:rsidDel="00000000" w:rsidP="00000000" w:rsidRDefault="00000000" w:rsidRPr="00000000" w14:paraId="00000046">
      <w:pPr>
        <w:spacing w:after="120" w:line="288"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4.1. Results</w:t>
      </w:r>
    </w:p>
    <w:p w:rsidR="00000000" w:rsidDel="00000000" w:rsidP="00000000" w:rsidRDefault="00000000" w:rsidRPr="00000000" w14:paraId="00000047">
      <w:pPr>
        <w:spacing w:after="120" w:line="288"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4.1.1. Descriptive statistics</w:t>
      </w:r>
    </w:p>
    <w:p w:rsidR="00000000" w:rsidDel="00000000" w:rsidP="00000000" w:rsidRDefault="00000000" w:rsidRPr="00000000" w14:paraId="00000048">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Descriptive statistics provide an initial understanding of the distribution and variability of the variables used in the study and help assess whether the data are appropriate for subsequent empirical analysis. This step is particularly important for stock liquidity and accounting comparability, which may vary substantially across firms and over time.</w:t>
      </w:r>
    </w:p>
    <w:p w:rsidR="00000000" w:rsidDel="00000000" w:rsidP="00000000" w:rsidRDefault="00000000" w:rsidRPr="00000000" w14:paraId="00000049">
      <w:pPr>
        <w:spacing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4.1: Descriptive statistics</w:t>
      </w:r>
    </w:p>
    <w:p w:rsidR="00000000" w:rsidDel="00000000" w:rsidP="00000000" w:rsidRDefault="00000000" w:rsidRPr="00000000" w14:paraId="0000004A">
      <w:pPr>
        <w:spacing w:line="288" w:lineRule="auto"/>
        <w:jc w:val="both"/>
        <w:rPr>
          <w:rFonts w:ascii="Times New Roman" w:cs="Times New Roman" w:eastAsia="Times New Roman" w:hAnsi="Times New Roman"/>
          <w:i w:val="1"/>
          <w:iCs w:val="1"/>
          <w:sz w:val="24"/>
          <w:szCs w:val="24"/>
        </w:rPr>
      </w:pPr>
      <w:bookmarkStart w:colFirst="0" w:colLast="0" w:name="_heading=h.w74pwp8z8ioo" w:id="1"/>
      <w:bookmarkEnd w:id="1"/>
      <w:r w:rsidDel="00000000" w:rsidR="00000000" w:rsidRPr="00000000">
        <w:rPr>
          <w:rFonts w:ascii="Times New Roman" w:cs="Times New Roman" w:eastAsia="Times New Roman" w:hAnsi="Times New Roman"/>
          <w:i w:val="1"/>
          <w:iCs w:val="1"/>
          <w:sz w:val="24"/>
          <w:szCs w:val="24"/>
          <w:rtl w:val="0"/>
        </w:rPr>
        <w:t xml:space="preserve">Source: Author’s compilation</w:t>
      </w:r>
    </w:p>
    <w:tbl>
      <w:tblPr>
        <w:tblStyle w:val="Table2"/>
        <w:tblW w:w="964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3"/>
        <w:gridCol w:w="1530"/>
        <w:gridCol w:w="1530"/>
        <w:gridCol w:w="1530"/>
        <w:gridCol w:w="1530"/>
        <w:gridCol w:w="1677"/>
        <w:tblGridChange w:id="0">
          <w:tblGrid>
            <w:gridCol w:w="1843"/>
            <w:gridCol w:w="1530"/>
            <w:gridCol w:w="1530"/>
            <w:gridCol w:w="1530"/>
            <w:gridCol w:w="1530"/>
            <w:gridCol w:w="1677"/>
          </w:tblGrid>
        </w:tblGridChange>
      </w:tblGrid>
      <w:tr>
        <w:trPr>
          <w:cantSplit w:val="0"/>
          <w:trHeight w:val="343" w:hRule="atLeast"/>
          <w:tblHeader w:val="1"/>
        </w:trPr>
        <w:tc>
          <w:tcPr>
            <w:tcBorders>
              <w:top w:color="000000" w:space="0" w:sz="8" w:val="single"/>
              <w:left w:color="ffffff" w:space="0" w:sz="4" w:val="single"/>
              <w:bottom w:color="000000" w:space="0" w:sz="8" w:val="single"/>
              <w:right w:color="ffffff" w:space="0" w:sz="4" w:val="single"/>
            </w:tcBorders>
            <w:tcMar>
              <w:top w:w="99.0" w:type="dxa"/>
              <w:left w:w="99.0" w:type="dxa"/>
              <w:bottom w:w="99.0" w:type="dxa"/>
              <w:right w:w="99.0" w:type="dxa"/>
            </w:tcMar>
            <w:vAlign w:val="center"/>
          </w:tcPr>
          <w:p w:rsidR="00000000" w:rsidDel="00000000" w:rsidP="00000000" w:rsidRDefault="00000000" w:rsidRPr="00000000" w14:paraId="0000004B">
            <w:pPr>
              <w:spacing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Variable</w:t>
            </w:r>
          </w:p>
        </w:tc>
        <w:tc>
          <w:tcPr>
            <w:tcBorders>
              <w:top w:color="000000" w:space="0" w:sz="8" w:val="single"/>
              <w:left w:color="ffffff" w:space="0" w:sz="4" w:val="single"/>
              <w:bottom w:color="000000" w:space="0" w:sz="8" w:val="single"/>
              <w:right w:color="ffffff" w:space="0" w:sz="4" w:val="single"/>
            </w:tcBorders>
            <w:tcMar>
              <w:top w:w="99.0" w:type="dxa"/>
              <w:left w:w="99.0" w:type="dxa"/>
              <w:bottom w:w="99.0" w:type="dxa"/>
              <w:right w:w="99.0" w:type="dxa"/>
            </w:tcMar>
            <w:vAlign w:val="center"/>
          </w:tcPr>
          <w:p w:rsidR="00000000" w:rsidDel="00000000" w:rsidP="00000000" w:rsidRDefault="00000000" w:rsidRPr="00000000" w14:paraId="0000004C">
            <w:pPr>
              <w:spacing w:line="288" w:lineRule="auto"/>
              <w:ind w:firstLine="42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Obs</w:t>
            </w:r>
          </w:p>
        </w:tc>
        <w:tc>
          <w:tcPr>
            <w:tcBorders>
              <w:top w:color="000000" w:space="0" w:sz="8" w:val="single"/>
              <w:left w:color="ffffff" w:space="0" w:sz="4" w:val="single"/>
              <w:bottom w:color="000000" w:space="0" w:sz="8" w:val="single"/>
              <w:right w:color="ffffff" w:space="0" w:sz="4" w:val="single"/>
            </w:tcBorders>
            <w:tcMar>
              <w:top w:w="99.0" w:type="dxa"/>
              <w:left w:w="99.0" w:type="dxa"/>
              <w:bottom w:w="99.0" w:type="dxa"/>
              <w:right w:w="99.0" w:type="dxa"/>
            </w:tcMar>
            <w:vAlign w:val="center"/>
          </w:tcPr>
          <w:p w:rsidR="00000000" w:rsidDel="00000000" w:rsidP="00000000" w:rsidRDefault="00000000" w:rsidRPr="00000000" w14:paraId="0000004D">
            <w:pPr>
              <w:spacing w:line="288" w:lineRule="auto"/>
              <w:ind w:firstLine="42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Mean</w:t>
            </w:r>
          </w:p>
        </w:tc>
        <w:tc>
          <w:tcPr>
            <w:tcBorders>
              <w:top w:color="000000" w:space="0" w:sz="8" w:val="single"/>
              <w:left w:color="ffffff" w:space="0" w:sz="4" w:val="single"/>
              <w:bottom w:color="000000" w:space="0" w:sz="8" w:val="single"/>
              <w:right w:color="ffffff" w:space="0" w:sz="4" w:val="single"/>
            </w:tcBorders>
            <w:tcMar>
              <w:top w:w="99.0" w:type="dxa"/>
              <w:left w:w="99.0" w:type="dxa"/>
              <w:bottom w:w="99.0" w:type="dxa"/>
              <w:right w:w="99.0" w:type="dxa"/>
            </w:tcMar>
            <w:vAlign w:val="center"/>
          </w:tcPr>
          <w:p w:rsidR="00000000" w:rsidDel="00000000" w:rsidP="00000000" w:rsidRDefault="00000000" w:rsidRPr="00000000" w14:paraId="0000004E">
            <w:pPr>
              <w:spacing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Std.Dev.</w:t>
            </w:r>
          </w:p>
        </w:tc>
        <w:tc>
          <w:tcPr>
            <w:tcBorders>
              <w:top w:color="000000" w:space="0" w:sz="8" w:val="single"/>
              <w:left w:color="ffffff" w:space="0" w:sz="4" w:val="single"/>
              <w:bottom w:color="000000" w:space="0" w:sz="8" w:val="single"/>
              <w:right w:color="ffffff" w:space="0" w:sz="4" w:val="single"/>
            </w:tcBorders>
            <w:tcMar>
              <w:top w:w="99.0" w:type="dxa"/>
              <w:left w:w="99.0" w:type="dxa"/>
              <w:bottom w:w="99.0" w:type="dxa"/>
              <w:right w:w="99.0" w:type="dxa"/>
            </w:tcMar>
            <w:vAlign w:val="center"/>
          </w:tcPr>
          <w:p w:rsidR="00000000" w:rsidDel="00000000" w:rsidP="00000000" w:rsidRDefault="00000000" w:rsidRPr="00000000" w14:paraId="0000004F">
            <w:pPr>
              <w:spacing w:line="288" w:lineRule="auto"/>
              <w:ind w:firstLine="42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Min</w:t>
            </w:r>
          </w:p>
        </w:tc>
        <w:tc>
          <w:tcPr>
            <w:tcBorders>
              <w:top w:color="000000" w:space="0" w:sz="8" w:val="single"/>
              <w:left w:color="ffffff" w:space="0" w:sz="4" w:val="single"/>
              <w:bottom w:color="000000" w:space="0" w:sz="8" w:val="single"/>
              <w:right w:color="ffffff" w:space="0" w:sz="4" w:val="single"/>
            </w:tcBorders>
            <w:tcMar>
              <w:top w:w="99.0" w:type="dxa"/>
              <w:left w:w="99.0" w:type="dxa"/>
              <w:bottom w:w="99.0" w:type="dxa"/>
              <w:right w:w="99.0" w:type="dxa"/>
            </w:tcMar>
            <w:vAlign w:val="center"/>
          </w:tcPr>
          <w:p w:rsidR="00000000" w:rsidDel="00000000" w:rsidP="00000000" w:rsidRDefault="00000000" w:rsidRPr="00000000" w14:paraId="00000050">
            <w:pPr>
              <w:spacing w:line="288" w:lineRule="auto"/>
              <w:ind w:firstLine="42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Max</w:t>
            </w:r>
          </w:p>
        </w:tc>
      </w:tr>
      <w:tr>
        <w:trPr>
          <w:cantSplit w:val="0"/>
          <w:trHeight w:val="170" w:hRule="atLeast"/>
          <w:tblHeader w:val="0"/>
        </w:trPr>
        <w:tc>
          <w:tcPr>
            <w:tcBorders>
              <w:top w:color="000000" w:space="0" w:sz="0" w:val="nil"/>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1">
            <w:pPr>
              <w:spacing w:line="288" w:lineRule="auto"/>
              <w:ind w:firstLine="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LIQ</w:t>
            </w:r>
          </w:p>
        </w:tc>
        <w:tc>
          <w:tcPr>
            <w:tcBorders>
              <w:top w:color="000000" w:space="0" w:sz="0" w:val="nil"/>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2">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2,816</w:t>
            </w:r>
          </w:p>
        </w:tc>
        <w:tc>
          <w:tcPr>
            <w:tcBorders>
              <w:top w:color="000000" w:space="0" w:sz="8"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3">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21.597</w:t>
            </w:r>
          </w:p>
        </w:tc>
        <w:tc>
          <w:tcPr>
            <w:tcBorders>
              <w:top w:color="000000" w:space="0" w:sz="8"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4">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3.589</w:t>
            </w:r>
          </w:p>
        </w:tc>
        <w:tc>
          <w:tcPr>
            <w:tcBorders>
              <w:top w:color="000000" w:space="0" w:sz="8"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5">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16.240</w:t>
            </w:r>
          </w:p>
        </w:tc>
        <w:tc>
          <w:tcPr>
            <w:tcBorders>
              <w:top w:color="000000" w:space="0" w:sz="8"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6">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29.690</w:t>
            </w:r>
          </w:p>
        </w:tc>
      </w:tr>
      <w:tr>
        <w:trPr>
          <w:cantSplit w:val="0"/>
          <w:trHeight w:val="170" w:hRule="atLeast"/>
          <w:tblHeader w:val="0"/>
        </w:trPr>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7">
            <w:pPr>
              <w:spacing w:line="288" w:lineRule="auto"/>
              <w:ind w:firstLine="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COMP4</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8">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9">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-0.008</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A">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0.010</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B">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-0.080</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C">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w:t>
            </w:r>
          </w:p>
        </w:tc>
      </w:tr>
      <w:tr>
        <w:trPr>
          <w:cantSplit w:val="0"/>
          <w:trHeight w:val="170" w:hRule="atLeast"/>
          <w:tblHeader w:val="0"/>
        </w:trPr>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D">
            <w:pPr>
              <w:spacing w:line="288" w:lineRule="auto"/>
              <w:ind w:firstLine="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SIZE</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E">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5F">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27.516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0">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1.523</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1">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29.916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2">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31.600</w:t>
            </w:r>
          </w:p>
        </w:tc>
      </w:tr>
      <w:tr>
        <w:trPr>
          <w:cantSplit w:val="0"/>
          <w:trHeight w:val="170" w:hRule="atLeast"/>
          <w:tblHeader w:val="0"/>
        </w:trPr>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3">
            <w:pPr>
              <w:spacing w:line="288" w:lineRule="auto"/>
              <w:ind w:firstLine="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AGE</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4">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5">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3.330</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6">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0.489</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7">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1.791</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8">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4.159</w:t>
            </w:r>
          </w:p>
        </w:tc>
      </w:tr>
      <w:tr>
        <w:trPr>
          <w:cantSplit w:val="0"/>
          <w:trHeight w:val="170" w:hRule="atLeast"/>
          <w:tblHeader w:val="0"/>
        </w:trPr>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9">
            <w:pPr>
              <w:spacing w:line="288" w:lineRule="auto"/>
              <w:ind w:firstLine="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MTB</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A">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B">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1.270</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C">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0.991</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D">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0.194</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E">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7.432</w:t>
            </w:r>
          </w:p>
        </w:tc>
      </w:tr>
      <w:tr>
        <w:trPr>
          <w:cantSplit w:val="0"/>
          <w:trHeight w:val="170" w:hRule="atLeast"/>
          <w:tblHeader w:val="0"/>
        </w:trPr>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6F">
            <w:pPr>
              <w:spacing w:line="288" w:lineRule="auto"/>
              <w:ind w:firstLine="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CB</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0">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1">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0.093</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2">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3">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0.011</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4">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0.525</w:t>
            </w:r>
          </w:p>
        </w:tc>
      </w:tr>
      <w:tr>
        <w:trPr>
          <w:cantSplit w:val="0"/>
          <w:trHeight w:val="170" w:hRule="atLeast"/>
          <w:tblHeader w:val="0"/>
        </w:trPr>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5">
            <w:pPr>
              <w:spacing w:line="288" w:lineRule="auto"/>
              <w:ind w:firstLine="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VOL</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6">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7">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0.028</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8">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0.010</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9">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0.088</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A">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0.057</w:t>
            </w:r>
          </w:p>
        </w:tc>
      </w:tr>
      <w:tr>
        <w:trPr>
          <w:cantSplit w:val="0"/>
          <w:trHeight w:val="170" w:hRule="atLeast"/>
          <w:tblHeader w:val="0"/>
        </w:trPr>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B">
            <w:pPr>
              <w:spacing w:line="288" w:lineRule="auto"/>
              <w:ind w:firstLine="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LEV</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C">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D">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0.477</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E">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7F">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0.039</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0">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0.905</w:t>
            </w:r>
          </w:p>
        </w:tc>
      </w:tr>
      <w:tr>
        <w:trPr>
          <w:cantSplit w:val="0"/>
          <w:trHeight w:val="170" w:hRule="atLeast"/>
          <w:tblHeader w:val="0"/>
        </w:trPr>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1">
            <w:pPr>
              <w:spacing w:line="288" w:lineRule="auto"/>
              <w:ind w:firstLine="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PPE</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2">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3">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0.246</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4">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0.227</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5">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w:t>
            </w:r>
          </w:p>
        </w:tc>
        <w:tc>
          <w:tcPr>
            <w:tcBorders>
              <w:top w:color="ffffff" w:space="0" w:sz="4" w:val="single"/>
              <w:left w:color="ffffff" w:space="0" w:sz="4" w:val="single"/>
              <w:bottom w:color="ffffff" w:space="0" w:sz="4"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6">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0.873</w:t>
            </w:r>
          </w:p>
        </w:tc>
      </w:tr>
      <w:tr>
        <w:trPr>
          <w:cantSplit w:val="0"/>
          <w:trHeight w:val="170" w:hRule="atLeast"/>
          <w:tblHeader w:val="0"/>
        </w:trPr>
        <w:tc>
          <w:tcPr>
            <w:tcBorders>
              <w:top w:color="ffffff" w:space="0" w:sz="4" w:val="single"/>
              <w:left w:color="ffffff" w:space="0" w:sz="4" w:val="single"/>
              <w:bottom w:color="000000" w:space="0" w:sz="8"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7">
            <w:pPr>
              <w:spacing w:line="288" w:lineRule="auto"/>
              <w:ind w:firstLine="42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PRICE</w:t>
            </w:r>
          </w:p>
        </w:tc>
        <w:tc>
          <w:tcPr>
            <w:tcBorders>
              <w:top w:color="ffffff" w:space="0" w:sz="4" w:val="single"/>
              <w:left w:color="ffffff" w:space="0" w:sz="4" w:val="single"/>
              <w:bottom w:color="000000" w:space="0" w:sz="8"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8">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2,816</w:t>
            </w:r>
          </w:p>
        </w:tc>
        <w:tc>
          <w:tcPr>
            <w:tcBorders>
              <w:top w:color="ffffff" w:space="0" w:sz="4" w:val="single"/>
              <w:left w:color="ffffff" w:space="0" w:sz="4" w:val="single"/>
              <w:bottom w:color="000000" w:space="0" w:sz="8"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9">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0.117</w:t>
            </w:r>
          </w:p>
        </w:tc>
        <w:tc>
          <w:tcPr>
            <w:tcBorders>
              <w:top w:color="ffffff" w:space="0" w:sz="4" w:val="single"/>
              <w:left w:color="ffffff" w:space="0" w:sz="4" w:val="single"/>
              <w:bottom w:color="000000" w:space="0" w:sz="8"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A">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0.104</w:t>
            </w:r>
          </w:p>
        </w:tc>
        <w:tc>
          <w:tcPr>
            <w:tcBorders>
              <w:top w:color="ffffff" w:space="0" w:sz="4" w:val="single"/>
              <w:left w:color="ffffff" w:space="0" w:sz="4" w:val="single"/>
              <w:bottom w:color="000000" w:space="0" w:sz="8"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B">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0.011</w:t>
            </w:r>
          </w:p>
        </w:tc>
        <w:tc>
          <w:tcPr>
            <w:tcBorders>
              <w:top w:color="ffffff" w:space="0" w:sz="4" w:val="single"/>
              <w:left w:color="ffffff" w:space="0" w:sz="4" w:val="single"/>
              <w:bottom w:color="000000" w:space="0" w:sz="8" w:val="single"/>
              <w:right w:color="ffffff" w:space="0" w:sz="4" w:val="single"/>
            </w:tcBorders>
            <w:tcMar>
              <w:top w:w="100.0" w:type="dxa"/>
              <w:left w:w="100.0" w:type="dxa"/>
              <w:bottom w:w="100.0" w:type="dxa"/>
              <w:right w:w="100.0" w:type="dxa"/>
            </w:tcMar>
          </w:tcPr>
          <w:p w:rsidR="00000000" w:rsidDel="00000000" w:rsidP="00000000" w:rsidRDefault="00000000" w:rsidRPr="00000000" w14:paraId="0000008C">
            <w:pPr>
              <w:spacing w:line="288" w:lineRule="auto"/>
              <w:ind w:firstLine="425"/>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0.902</w:t>
            </w:r>
          </w:p>
        </w:tc>
      </w:tr>
    </w:tbl>
    <w:p w:rsidR="00000000" w:rsidDel="00000000" w:rsidP="00000000" w:rsidRDefault="00000000" w:rsidRPr="00000000" w14:paraId="0000008D">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Note:</w:t>
      </w:r>
      <w:r w:rsidDel="00000000" w:rsidR="00000000" w:rsidRPr="00000000">
        <w:rPr>
          <w:rFonts w:ascii="Times New Roman" w:cs="Times New Roman" w:eastAsia="Times New Roman" w:hAnsi="Times New Roman"/>
          <w:sz w:val="24"/>
          <w:szCs w:val="24"/>
          <w:rtl w:val="0"/>
        </w:rPr>
        <w:t xml:space="preserve"> Table reports descriptive statistics for the variables used in the empirical analysis. LIQ denotes stock liquidity and is measured by the Amihud (2002) illiquidity ratio, calculated as the average ratio of absolute daily stock returns to daily trading value. COMP4 represents accounting comparability and is measured as the average similarity score of a firm relative to its four most comparable firms within the same industry, following De Franco et al. (2011). Control variables include SIZE, defined as firm size and measured by the natural logarithm of total assets; AGE, defined as listing age and measured by the natural logarithm of years since listing; MTB, defined as the market-to-book ratio; CB, defined as cash holdings scaled by total assets; VOL, defined as stock price volatility and measured by the standard deviation of daily returns; LEV, defined as financial leverage measured as total debt to total assets; PPE, defined as asset tangibility measured as property, plant, and equipment to total assets; and PRICE, defined as the stock closing price at the end of fiscal year. </w:t>
      </w:r>
    </w:p>
    <w:p w:rsidR="00000000" w:rsidDel="00000000" w:rsidP="00000000" w:rsidRDefault="00000000" w:rsidRPr="00000000" w14:paraId="0000008E">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dependent variable, stock liquidity (LIQ), is measured using 2,816 firm-quarter observations based on the Amihud (2002) illiquidity ratio, where higher values indicate lower liquidity. The mean LIQ value is 21.597, suggesting that, on average, Vietnamese stocks exhibit a moderate but relatively low level of liquidity. The wide range between the minimum value of 16.240 and the maximum value of 29.690 reflects substantial variation in trading conditions across firms. Prior empirical studies on Viet Nam report similarly large cross-sectional differences in Amihud-based liquidity measures and document that overall liquidity remains lower and more volatile than in developed and many emerging markets (Tran et al., 2018; Pham, 2020; Dinh &amp; Tran, 2023). Evidence from other emerging markets reports higher liquidity and tighter distributions of Amihud-based measures, reflecting deeper markets and lower information frictions (Amihud, 2002; Cakici and Zaremba., 2021; Chen et al., 2018). The descriptive results confirm that liquidity in Viet Nam is relatively weak but highly heterogeneous, which is consistent with both prior Vietnamese studies and international comparisons.</w:t>
      </w:r>
    </w:p>
    <w:p w:rsidR="00000000" w:rsidDel="00000000" w:rsidP="00000000" w:rsidRDefault="00000000" w:rsidRPr="00000000" w14:paraId="0000008F">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independent variable, accounting comparability (COMP4) measured following De Franco et al. (2011), suggests limited similarity in financial reporting across firms within the same industry. At the same time, the observed range suggests meaningful variation in reporting practices within the same industry. This finding implies that firms differ substantially in how they translate similar economic events into accounting numbers. The level and dispersion of COMP4 are broadly consistent with evidence from emerging and frontier markets, where accounting standards are less harmonized and enforcement is weaker than in developed economies (Nguyen &amp; Nguyen, 2021; Vo, 2016). In contrast, studies using U.S. data typically report higher average comparability and less dispersion, reflecting more consistent application of accounting standards and stronger institutional frameworks (De Franco et al., 2011; Chen et al., 2018; Chircop, 2021). Within Viet Nam, prior studies also document limited comparability across firms, especially in periods before IFRS convergence, which aligns with the descriptive patterns observed in this study (Nguyen, 2021; Tran &amp; Tran, 2024). </w:t>
      </w:r>
    </w:p>
    <w:p w:rsidR="00000000" w:rsidDel="00000000" w:rsidP="00000000" w:rsidRDefault="00000000" w:rsidRPr="00000000" w14:paraId="00000090">
      <w:pPr>
        <w:spacing w:after="120" w:line="288" w:lineRule="auto"/>
        <w:jc w:val="both"/>
        <w:rPr>
          <w:rFonts w:ascii="Times New Roman" w:cs="Times New Roman" w:eastAsia="Times New Roman" w:hAnsi="Times New Roman"/>
          <w:i w:val="1"/>
          <w:iCs w:val="1"/>
          <w:sz w:val="24"/>
          <w:szCs w:val="24"/>
        </w:rPr>
      </w:pPr>
      <w:bookmarkStart w:colFirst="0" w:colLast="0" w:name="_heading=h.bgu1e8xa2csl" w:id="2"/>
      <w:bookmarkEnd w:id="2"/>
      <w:r w:rsidDel="00000000" w:rsidR="00000000" w:rsidRPr="00000000">
        <w:rPr>
          <w:rFonts w:ascii="Times New Roman" w:cs="Times New Roman" w:eastAsia="Times New Roman" w:hAnsi="Times New Roman"/>
          <w:i w:val="1"/>
          <w:iCs w:val="1"/>
          <w:sz w:val="24"/>
          <w:szCs w:val="24"/>
          <w:rtl w:val="0"/>
        </w:rPr>
        <w:t xml:space="preserve">4.1.2. Regression results</w:t>
      </w:r>
    </w:p>
    <w:p w:rsidR="00000000" w:rsidDel="00000000" w:rsidP="00000000" w:rsidRDefault="00000000" w:rsidRPr="00000000" w14:paraId="00000091">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Following the examination of data characteristics through descriptive statistics, this section presents the primary empirical results from the multivariate regression analysis aimed at testing the hypothesis regarding the impact of accounting comparability on stock liquidity. Table 4.2 summarizes the estimated coefficients, where the dependent variable is stock liquidity and the key explanatory variable is accounting comparability. </w:t>
      </w:r>
    </w:p>
    <w:p w:rsidR="00000000" w:rsidDel="00000000" w:rsidP="00000000" w:rsidRDefault="00000000" w:rsidRPr="00000000" w14:paraId="00000092">
      <w:pPr>
        <w:spacing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4.2: Regression results</w:t>
      </w:r>
    </w:p>
    <w:p w:rsidR="00000000" w:rsidDel="00000000" w:rsidP="00000000" w:rsidRDefault="00000000" w:rsidRPr="00000000" w14:paraId="00000093">
      <w:pPr>
        <w:spacing w:line="288"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Source: Author’s compilation</w:t>
      </w:r>
      <w:r w:rsidDel="00000000" w:rsidR="00000000" w:rsidRPr="00000000">
        <w:rPr>
          <w:rtl w:val="0"/>
        </w:rPr>
      </w:r>
    </w:p>
    <w:tbl>
      <w:tblPr>
        <w:tblStyle w:val="Table3"/>
        <w:tblW w:w="962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75"/>
        <w:gridCol w:w="1375"/>
        <w:gridCol w:w="1375"/>
        <w:gridCol w:w="1376"/>
        <w:gridCol w:w="1376"/>
        <w:gridCol w:w="1376"/>
        <w:gridCol w:w="1376"/>
        <w:tblGridChange w:id="0">
          <w:tblGrid>
            <w:gridCol w:w="1375"/>
            <w:gridCol w:w="1375"/>
            <w:gridCol w:w="1375"/>
            <w:gridCol w:w="1376"/>
            <w:gridCol w:w="1376"/>
            <w:gridCol w:w="1376"/>
            <w:gridCol w:w="1376"/>
          </w:tblGrid>
        </w:tblGridChange>
      </w:tblGrid>
      <w:tr>
        <w:trPr>
          <w:cantSplit w:val="0"/>
          <w:trHeight w:val="680" w:hRule="atLeast"/>
          <w:tblHeader w:val="1"/>
        </w:trPr>
        <w:tc>
          <w:tcPr>
            <w:tcBorders>
              <w:left w:color="ffffff" w:space="0" w:sz="4" w:val="single"/>
              <w:right w:color="ffffff" w:space="0" w:sz="4" w:val="single"/>
            </w:tcBorders>
            <w:vAlign w:val="center"/>
          </w:tcPr>
          <w:p w:rsidR="00000000" w:rsidDel="00000000" w:rsidP="00000000" w:rsidRDefault="00000000" w:rsidRPr="00000000" w14:paraId="00000094">
            <w:pPr>
              <w:spacing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Variable name</w:t>
            </w: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095">
            <w:pPr>
              <w:spacing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p w:rsidR="00000000" w:rsidDel="00000000" w:rsidP="00000000" w:rsidRDefault="00000000" w:rsidRPr="00000000" w14:paraId="00000096">
            <w:pPr>
              <w:spacing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LIQ</w:t>
            </w: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097">
            <w:pPr>
              <w:spacing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p w:rsidR="00000000" w:rsidDel="00000000" w:rsidP="00000000" w:rsidRDefault="00000000" w:rsidRPr="00000000" w14:paraId="00000098">
            <w:pPr>
              <w:spacing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LIQ_1</w:t>
            </w: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099">
            <w:pPr>
              <w:spacing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p w:rsidR="00000000" w:rsidDel="00000000" w:rsidP="00000000" w:rsidRDefault="00000000" w:rsidRPr="00000000" w14:paraId="0000009A">
            <w:pPr>
              <w:spacing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LIQ_2</w:t>
            </w: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09B">
            <w:pPr>
              <w:spacing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p w:rsidR="00000000" w:rsidDel="00000000" w:rsidP="00000000" w:rsidRDefault="00000000" w:rsidRPr="00000000" w14:paraId="0000009C">
            <w:pPr>
              <w:spacing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LIQ_3</w:t>
            </w: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09D">
            <w:pPr>
              <w:spacing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p w:rsidR="00000000" w:rsidDel="00000000" w:rsidP="00000000" w:rsidRDefault="00000000" w:rsidRPr="00000000" w14:paraId="0000009E">
            <w:pPr>
              <w:spacing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LIQ_4</w:t>
            </w:r>
            <w:r w:rsidDel="00000000" w:rsidR="00000000" w:rsidRPr="00000000">
              <w:rPr>
                <w:rtl w:val="0"/>
              </w:rPr>
            </w:r>
          </w:p>
        </w:tc>
        <w:tc>
          <w:tcPr>
            <w:tcBorders>
              <w:left w:color="ffffff" w:space="0" w:sz="4" w:val="single"/>
              <w:right w:color="ffffff" w:space="0" w:sz="4" w:val="single"/>
            </w:tcBorders>
            <w:vAlign w:val="center"/>
          </w:tcPr>
          <w:p w:rsidR="00000000" w:rsidDel="00000000" w:rsidP="00000000" w:rsidRDefault="00000000" w:rsidRPr="00000000" w14:paraId="0000009F">
            <w:pPr>
              <w:spacing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p w:rsidR="00000000" w:rsidDel="00000000" w:rsidP="00000000" w:rsidRDefault="00000000" w:rsidRPr="00000000" w14:paraId="000000A0">
            <w:pPr>
              <w:spacing w:line="288"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LIQ_5</w:t>
            </w:r>
            <w:r w:rsidDel="00000000" w:rsidR="00000000" w:rsidRPr="00000000">
              <w:rPr>
                <w:rtl w:val="0"/>
              </w:rPr>
            </w:r>
          </w:p>
        </w:tc>
      </w:tr>
      <w:tr>
        <w:trPr>
          <w:cantSplit w:val="0"/>
          <w:trHeight w:val="680" w:hRule="atLeast"/>
          <w:tblHeader w:val="0"/>
        </w:trPr>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0A1">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COMP4</w:t>
            </w:r>
            <w:r w:rsidDel="00000000" w:rsidR="00000000" w:rsidRPr="00000000">
              <w:rPr>
                <w:rtl w:val="0"/>
              </w:rPr>
            </w:r>
          </w:p>
        </w:tc>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0A2">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-24.437***</w:t>
            </w:r>
          </w:p>
          <w:p w:rsidR="00000000" w:rsidDel="00000000" w:rsidP="00000000" w:rsidRDefault="00000000" w:rsidRPr="00000000" w14:paraId="000000A3">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(3.387)</w:t>
            </w:r>
          </w:p>
        </w:tc>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0A4">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-21.009***</w:t>
            </w:r>
          </w:p>
          <w:p w:rsidR="00000000" w:rsidDel="00000000" w:rsidP="00000000" w:rsidRDefault="00000000" w:rsidRPr="00000000" w14:paraId="000000A5">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(8.107)</w:t>
            </w:r>
          </w:p>
        </w:tc>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0A6">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-36.095***</w:t>
            </w:r>
          </w:p>
          <w:p w:rsidR="00000000" w:rsidDel="00000000" w:rsidP="00000000" w:rsidRDefault="00000000" w:rsidRPr="00000000" w14:paraId="000000A7">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(7.073)</w:t>
            </w:r>
          </w:p>
        </w:tc>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0A8">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-33.952*</w:t>
            </w:r>
          </w:p>
          <w:p w:rsidR="00000000" w:rsidDel="00000000" w:rsidP="00000000" w:rsidRDefault="00000000" w:rsidRPr="00000000" w14:paraId="000000A9">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(19.554)</w:t>
            </w:r>
          </w:p>
        </w:tc>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0AA">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-28.910***</w:t>
            </w:r>
          </w:p>
          <w:p w:rsidR="00000000" w:rsidDel="00000000" w:rsidP="00000000" w:rsidRDefault="00000000" w:rsidRPr="00000000" w14:paraId="000000AB">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(10.092)</w:t>
            </w:r>
          </w:p>
        </w:tc>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0AC">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-49.442***</w:t>
            </w:r>
          </w:p>
          <w:p w:rsidR="00000000" w:rsidDel="00000000" w:rsidP="00000000" w:rsidRDefault="00000000" w:rsidRPr="00000000" w14:paraId="000000AD">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(10.739)</w:t>
            </w:r>
          </w:p>
        </w:tc>
      </w:tr>
      <w:tr>
        <w:trPr>
          <w:cantSplit w:val="0"/>
          <w:trHeight w:val="680" w:hRule="atLeast"/>
          <w:tblHeader w:val="0"/>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AE">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SIZE</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AF">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1.667***</w:t>
            </w:r>
          </w:p>
          <w:p w:rsidR="00000000" w:rsidDel="00000000" w:rsidP="00000000" w:rsidRDefault="00000000" w:rsidRPr="00000000" w14:paraId="000000B0">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(0.022)</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B1">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1.682***</w:t>
            </w:r>
          </w:p>
          <w:p w:rsidR="00000000" w:rsidDel="00000000" w:rsidP="00000000" w:rsidRDefault="00000000" w:rsidRPr="00000000" w14:paraId="000000B2">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(0.053)</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B3">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1.547***</w:t>
            </w:r>
          </w:p>
          <w:p w:rsidR="00000000" w:rsidDel="00000000" w:rsidP="00000000" w:rsidRDefault="00000000" w:rsidRPr="00000000" w14:paraId="000000B4">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(0.053)</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B5">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1.001***</w:t>
            </w:r>
          </w:p>
          <w:p w:rsidR="00000000" w:rsidDel="00000000" w:rsidP="00000000" w:rsidRDefault="00000000" w:rsidRPr="00000000" w14:paraId="000000B6">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(0.139)</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B7">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2.255***</w:t>
            </w:r>
          </w:p>
          <w:p w:rsidR="00000000" w:rsidDel="00000000" w:rsidP="00000000" w:rsidRDefault="00000000" w:rsidRPr="00000000" w14:paraId="000000B8">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(0.113)</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B9">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1.847***</w:t>
            </w:r>
          </w:p>
          <w:p w:rsidR="00000000" w:rsidDel="00000000" w:rsidP="00000000" w:rsidRDefault="00000000" w:rsidRPr="00000000" w14:paraId="000000BA">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(0.066)</w:t>
            </w:r>
          </w:p>
        </w:tc>
      </w:tr>
      <w:tr>
        <w:trPr>
          <w:cantSplit w:val="0"/>
          <w:trHeight w:val="680" w:hRule="atLeast"/>
          <w:tblHeader w:val="0"/>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BB">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ln_AGE</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BC">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-0.313***</w:t>
            </w:r>
          </w:p>
          <w:p w:rsidR="00000000" w:rsidDel="00000000" w:rsidP="00000000" w:rsidRDefault="00000000" w:rsidRPr="00000000" w14:paraId="000000BD">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(0.059)</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BE">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-0.411***</w:t>
            </w:r>
          </w:p>
          <w:p w:rsidR="00000000" w:rsidDel="00000000" w:rsidP="00000000" w:rsidRDefault="00000000" w:rsidRPr="00000000" w14:paraId="000000BF">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(0.126)</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C0">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0.001</w:t>
            </w:r>
          </w:p>
          <w:p w:rsidR="00000000" w:rsidDel="00000000" w:rsidP="00000000" w:rsidRDefault="00000000" w:rsidRPr="00000000" w14:paraId="000000C1">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(0.119)</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C2">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-0.960***</w:t>
            </w:r>
          </w:p>
          <w:p w:rsidR="00000000" w:rsidDel="00000000" w:rsidP="00000000" w:rsidRDefault="00000000" w:rsidRPr="00000000" w14:paraId="000000C3">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(0.250)</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C4">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-2.214***</w:t>
            </w:r>
          </w:p>
          <w:p w:rsidR="00000000" w:rsidDel="00000000" w:rsidP="00000000" w:rsidRDefault="00000000" w:rsidRPr="00000000" w14:paraId="000000C5">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(0.338)</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C6">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0.608**</w:t>
            </w:r>
          </w:p>
          <w:p w:rsidR="00000000" w:rsidDel="00000000" w:rsidP="00000000" w:rsidRDefault="00000000" w:rsidRPr="00000000" w14:paraId="000000C7">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(0.252)</w:t>
            </w:r>
          </w:p>
        </w:tc>
      </w:tr>
      <w:tr>
        <w:trPr>
          <w:cantSplit w:val="0"/>
          <w:trHeight w:val="680" w:hRule="atLeast"/>
          <w:tblHeader w:val="0"/>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C8">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MTB</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C9">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0.231***</w:t>
            </w:r>
          </w:p>
          <w:p w:rsidR="00000000" w:rsidDel="00000000" w:rsidP="00000000" w:rsidRDefault="00000000" w:rsidRPr="00000000" w14:paraId="000000CA">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(0.033)</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CB">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0.450***</w:t>
            </w:r>
          </w:p>
          <w:p w:rsidR="00000000" w:rsidDel="00000000" w:rsidP="00000000" w:rsidRDefault="00000000" w:rsidRPr="00000000" w14:paraId="000000CC">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(0.073)</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CD">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0.297***</w:t>
            </w:r>
          </w:p>
          <w:p w:rsidR="00000000" w:rsidDel="00000000" w:rsidP="00000000" w:rsidRDefault="00000000" w:rsidRPr="00000000" w14:paraId="000000CE">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(0.080)</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CF">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-0.391**</w:t>
            </w:r>
          </w:p>
          <w:p w:rsidR="00000000" w:rsidDel="00000000" w:rsidP="00000000" w:rsidRDefault="00000000" w:rsidRPr="00000000" w14:paraId="000000D0">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(0.187)</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D1">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0.257</w:t>
            </w:r>
          </w:p>
          <w:p w:rsidR="00000000" w:rsidDel="00000000" w:rsidP="00000000" w:rsidRDefault="00000000" w:rsidRPr="00000000" w14:paraId="000000D2">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(0.317)</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D3">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-0.045</w:t>
            </w:r>
          </w:p>
          <w:p w:rsidR="00000000" w:rsidDel="00000000" w:rsidP="00000000" w:rsidRDefault="00000000" w:rsidRPr="00000000" w14:paraId="000000D4">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(0.076)</w:t>
            </w:r>
          </w:p>
        </w:tc>
      </w:tr>
      <w:tr>
        <w:trPr>
          <w:cantSplit w:val="0"/>
          <w:trHeight w:val="680" w:hRule="atLeast"/>
          <w:tblHeader w:val="0"/>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D5">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CB</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D6">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0.202</w:t>
            </w:r>
          </w:p>
          <w:p w:rsidR="00000000" w:rsidDel="00000000" w:rsidP="00000000" w:rsidRDefault="00000000" w:rsidRPr="00000000" w14:paraId="000000D7">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(0.293)</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D8">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0.218</w:t>
            </w:r>
          </w:p>
          <w:p w:rsidR="00000000" w:rsidDel="00000000" w:rsidP="00000000" w:rsidRDefault="00000000" w:rsidRPr="00000000" w14:paraId="000000D9">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(0.780)</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DA">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0.393</w:t>
            </w:r>
          </w:p>
          <w:p w:rsidR="00000000" w:rsidDel="00000000" w:rsidP="00000000" w:rsidRDefault="00000000" w:rsidRPr="00000000" w14:paraId="000000DB">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(0.565)</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DC">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-0.648</w:t>
            </w:r>
          </w:p>
          <w:p w:rsidR="00000000" w:rsidDel="00000000" w:rsidP="00000000" w:rsidRDefault="00000000" w:rsidRPr="00000000" w14:paraId="000000DD">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(0.949)</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DE">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-1.203</w:t>
            </w:r>
          </w:p>
          <w:p w:rsidR="00000000" w:rsidDel="00000000" w:rsidP="00000000" w:rsidRDefault="00000000" w:rsidRPr="00000000" w14:paraId="000000DF">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(1.654)</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E0">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-0.616</w:t>
            </w:r>
          </w:p>
          <w:p w:rsidR="00000000" w:rsidDel="00000000" w:rsidP="00000000" w:rsidRDefault="00000000" w:rsidRPr="00000000" w14:paraId="000000E1">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(1.527)</w:t>
            </w:r>
          </w:p>
        </w:tc>
      </w:tr>
      <w:tr>
        <w:trPr>
          <w:cantSplit w:val="0"/>
          <w:trHeight w:val="680" w:hRule="atLeast"/>
          <w:tblHeader w:val="0"/>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E2">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VOL</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E3">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-65.576***</w:t>
            </w:r>
          </w:p>
          <w:p w:rsidR="00000000" w:rsidDel="00000000" w:rsidP="00000000" w:rsidRDefault="00000000" w:rsidRPr="00000000" w14:paraId="000000E4">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(3.188)</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E5">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-72.731***</w:t>
            </w:r>
          </w:p>
          <w:p w:rsidR="00000000" w:rsidDel="00000000" w:rsidP="00000000" w:rsidRDefault="00000000" w:rsidRPr="00000000" w14:paraId="000000E6">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(7.327)</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E7">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-71.218***</w:t>
            </w:r>
          </w:p>
          <w:p w:rsidR="00000000" w:rsidDel="00000000" w:rsidP="00000000" w:rsidRDefault="00000000" w:rsidRPr="00000000" w14:paraId="000000E8">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(5.819)</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E9">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-90.872***</w:t>
            </w:r>
          </w:p>
          <w:p w:rsidR="00000000" w:rsidDel="00000000" w:rsidP="00000000" w:rsidRDefault="00000000" w:rsidRPr="00000000" w14:paraId="000000EA">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(12.829)</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EB">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-98.751***</w:t>
            </w:r>
          </w:p>
          <w:p w:rsidR="00000000" w:rsidDel="00000000" w:rsidP="00000000" w:rsidRDefault="00000000" w:rsidRPr="00000000" w14:paraId="000000EC">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(18.367)</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ED">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-75.772***</w:t>
            </w:r>
          </w:p>
          <w:p w:rsidR="00000000" w:rsidDel="00000000" w:rsidP="00000000" w:rsidRDefault="00000000" w:rsidRPr="00000000" w14:paraId="000000EE">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(13.540)</w:t>
            </w:r>
          </w:p>
        </w:tc>
      </w:tr>
      <w:tr>
        <w:trPr>
          <w:cantSplit w:val="0"/>
          <w:trHeight w:val="680" w:hRule="atLeast"/>
          <w:tblHeader w:val="0"/>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EF">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LEV</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F0">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-3.248***</w:t>
            </w:r>
          </w:p>
          <w:p w:rsidR="00000000" w:rsidDel="00000000" w:rsidP="00000000" w:rsidRDefault="00000000" w:rsidRPr="00000000" w14:paraId="000000F1">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(0.155)</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F2">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-4.660***</w:t>
            </w:r>
          </w:p>
          <w:p w:rsidR="00000000" w:rsidDel="00000000" w:rsidP="00000000" w:rsidRDefault="00000000" w:rsidRPr="00000000" w14:paraId="000000F3">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(0.341)</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F4">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-3.323***</w:t>
            </w:r>
          </w:p>
          <w:p w:rsidR="00000000" w:rsidDel="00000000" w:rsidP="00000000" w:rsidRDefault="00000000" w:rsidRPr="00000000" w14:paraId="000000F5">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(0.288)</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F6">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0.513</w:t>
            </w:r>
          </w:p>
          <w:p w:rsidR="00000000" w:rsidDel="00000000" w:rsidP="00000000" w:rsidRDefault="00000000" w:rsidRPr="00000000" w14:paraId="000000F7">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(0.636)</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F8">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-6.753***</w:t>
            </w:r>
          </w:p>
          <w:p w:rsidR="00000000" w:rsidDel="00000000" w:rsidP="00000000" w:rsidRDefault="00000000" w:rsidRPr="00000000" w14:paraId="000000F9">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(0.950)</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FA">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-1.535**</w:t>
            </w:r>
          </w:p>
          <w:p w:rsidR="00000000" w:rsidDel="00000000" w:rsidP="00000000" w:rsidRDefault="00000000" w:rsidRPr="00000000" w14:paraId="000000FB">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(0.641)</w:t>
            </w:r>
          </w:p>
        </w:tc>
      </w:tr>
      <w:tr>
        <w:trPr>
          <w:cantSplit w:val="0"/>
          <w:trHeight w:val="680" w:hRule="atLeast"/>
          <w:tblHeader w:val="0"/>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FC">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PPE</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FD">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-0.045</w:t>
            </w:r>
          </w:p>
          <w:p w:rsidR="00000000" w:rsidDel="00000000" w:rsidP="00000000" w:rsidRDefault="00000000" w:rsidRPr="00000000" w14:paraId="000000FE">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(0.140)</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0FF">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-1.301***</w:t>
            </w:r>
          </w:p>
          <w:p w:rsidR="00000000" w:rsidDel="00000000" w:rsidP="00000000" w:rsidRDefault="00000000" w:rsidRPr="00000000" w14:paraId="00000100">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(0.319)</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01">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0.496*</w:t>
            </w:r>
          </w:p>
          <w:p w:rsidR="00000000" w:rsidDel="00000000" w:rsidP="00000000" w:rsidRDefault="00000000" w:rsidRPr="00000000" w14:paraId="00000102">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(0.263)</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03">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0.531</w:t>
            </w:r>
          </w:p>
          <w:p w:rsidR="00000000" w:rsidDel="00000000" w:rsidP="00000000" w:rsidRDefault="00000000" w:rsidRPr="00000000" w14:paraId="00000104">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(0.412)</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05">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-2.070**</w:t>
            </w:r>
          </w:p>
          <w:p w:rsidR="00000000" w:rsidDel="00000000" w:rsidP="00000000" w:rsidRDefault="00000000" w:rsidRPr="00000000" w14:paraId="00000106">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(0.877)</w:t>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07">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2.703***</w:t>
            </w:r>
          </w:p>
          <w:p w:rsidR="00000000" w:rsidDel="00000000" w:rsidP="00000000" w:rsidRDefault="00000000" w:rsidRPr="00000000" w14:paraId="00000108">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(0.932)</w:t>
            </w:r>
          </w:p>
        </w:tc>
      </w:tr>
      <w:tr>
        <w:trPr>
          <w:cantSplit w:val="0"/>
          <w:trHeight w:val="680" w:hRule="atLeast"/>
          <w:tblHeader w:val="0"/>
        </w:trPr>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09">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PRICE</w:t>
            </w:r>
            <w:r w:rsidDel="00000000" w:rsidR="00000000" w:rsidRPr="00000000">
              <w:rPr>
                <w:rtl w:val="0"/>
              </w:rPr>
            </w:r>
          </w:p>
        </w:tc>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0A">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-2.856***</w:t>
            </w:r>
          </w:p>
          <w:p w:rsidR="00000000" w:rsidDel="00000000" w:rsidP="00000000" w:rsidRDefault="00000000" w:rsidRPr="00000000" w14:paraId="0000010B">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(0.357)</w:t>
            </w:r>
          </w:p>
        </w:tc>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0C">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-4.693***</w:t>
            </w:r>
          </w:p>
          <w:p w:rsidR="00000000" w:rsidDel="00000000" w:rsidP="00000000" w:rsidRDefault="00000000" w:rsidRPr="00000000" w14:paraId="0000010D">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(0.795)</w:t>
            </w:r>
          </w:p>
        </w:tc>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0E">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-1.456**</w:t>
            </w:r>
          </w:p>
          <w:p w:rsidR="00000000" w:rsidDel="00000000" w:rsidP="00000000" w:rsidRDefault="00000000" w:rsidRPr="00000000" w14:paraId="0000010F">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(0.608)</w:t>
            </w:r>
          </w:p>
        </w:tc>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10">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-3.324</w:t>
            </w:r>
          </w:p>
          <w:p w:rsidR="00000000" w:rsidDel="00000000" w:rsidP="00000000" w:rsidRDefault="00000000" w:rsidRPr="00000000" w14:paraId="00000111">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(3.164)</w:t>
            </w:r>
          </w:p>
        </w:tc>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12">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-2.493*</w:t>
            </w:r>
          </w:p>
          <w:p w:rsidR="00000000" w:rsidDel="00000000" w:rsidP="00000000" w:rsidRDefault="00000000" w:rsidRPr="00000000" w14:paraId="00000113">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(1.417)</w:t>
            </w:r>
          </w:p>
        </w:tc>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14">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-7.757***</w:t>
            </w:r>
          </w:p>
          <w:p w:rsidR="00000000" w:rsidDel="00000000" w:rsidP="00000000" w:rsidRDefault="00000000" w:rsidRPr="00000000" w14:paraId="00000115">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(1.868)</w:t>
            </w:r>
          </w:p>
        </w:tc>
      </w:tr>
      <w:tr>
        <w:trPr>
          <w:cantSplit w:val="0"/>
          <w:trHeight w:val="680" w:hRule="atLeast"/>
          <w:tblHeader w:val="0"/>
        </w:trPr>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116">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Constant</w:t>
            </w:r>
            <w:r w:rsidDel="00000000" w:rsidR="00000000" w:rsidRPr="00000000">
              <w:rPr>
                <w:rtl w:val="0"/>
              </w:rPr>
            </w:r>
          </w:p>
        </w:tc>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117">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-20.757***</w:t>
            </w:r>
          </w:p>
          <w:p w:rsidR="00000000" w:rsidDel="00000000" w:rsidP="00000000" w:rsidRDefault="00000000" w:rsidRPr="00000000" w14:paraId="00000118">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(0.730)</w:t>
            </w:r>
          </w:p>
        </w:tc>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119">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-17.542***</w:t>
            </w:r>
          </w:p>
          <w:p w:rsidR="00000000" w:rsidDel="00000000" w:rsidP="00000000" w:rsidRDefault="00000000" w:rsidRPr="00000000" w14:paraId="0000011A">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(1.497)</w:t>
            </w:r>
          </w:p>
        </w:tc>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11B">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-17.474***</w:t>
            </w:r>
          </w:p>
          <w:p w:rsidR="00000000" w:rsidDel="00000000" w:rsidP="00000000" w:rsidRDefault="00000000" w:rsidRPr="00000000" w14:paraId="0000011C">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(1.540)</w:t>
            </w:r>
          </w:p>
        </w:tc>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11D">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-0.488</w:t>
            </w:r>
          </w:p>
          <w:p w:rsidR="00000000" w:rsidDel="00000000" w:rsidP="00000000" w:rsidRDefault="00000000" w:rsidRPr="00000000" w14:paraId="0000011E">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(4.289)</w:t>
            </w:r>
          </w:p>
        </w:tc>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11F">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-25.221***</w:t>
            </w:r>
          </w:p>
          <w:p w:rsidR="00000000" w:rsidDel="00000000" w:rsidP="00000000" w:rsidRDefault="00000000" w:rsidRPr="00000000" w14:paraId="00000120">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(3.031)</w:t>
            </w:r>
          </w:p>
        </w:tc>
        <w:tc>
          <w:tcPr>
            <w:tcBorders>
              <w:left w:color="ffffff" w:space="0" w:sz="4" w:val="single"/>
              <w:bottom w:color="ffffff" w:space="0" w:sz="4" w:val="single"/>
              <w:right w:color="ffffff" w:space="0" w:sz="4" w:val="single"/>
            </w:tcBorders>
            <w:vAlign w:val="center"/>
          </w:tcPr>
          <w:p w:rsidR="00000000" w:rsidDel="00000000" w:rsidP="00000000" w:rsidRDefault="00000000" w:rsidRPr="00000000" w14:paraId="00000121">
            <w:pPr>
              <w:spacing w:line="288"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-29.273***</w:t>
            </w:r>
          </w:p>
          <w:p w:rsidR="00000000" w:rsidDel="00000000" w:rsidP="00000000" w:rsidRDefault="00000000" w:rsidRPr="00000000" w14:paraId="00000122">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(2.411)</w:t>
            </w:r>
          </w:p>
        </w:tc>
      </w:tr>
      <w:tr>
        <w:trPr>
          <w:cantSplit w:val="0"/>
          <w:trHeight w:val="680" w:hRule="atLeast"/>
          <w:tblHeader w:val="0"/>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3">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Obs</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4">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2,816</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5">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704</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6">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594</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7">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231</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8">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209</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9">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198</w:t>
            </w:r>
            <w:r w:rsidDel="00000000" w:rsidR="00000000" w:rsidRPr="00000000">
              <w:rPr>
                <w:rtl w:val="0"/>
              </w:rPr>
            </w:r>
          </w:p>
        </w:tc>
      </w:tr>
      <w:tr>
        <w:trPr>
          <w:cantSplit w:val="0"/>
          <w:trHeight w:val="680" w:hRule="atLeast"/>
          <w:tblHeader w:val="0"/>
        </w:trPr>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A">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Year fixing effect</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B">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Yes</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C">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Yes</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D">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Yes</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E">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Yes</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2F">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Yes</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vAlign w:val="center"/>
          </w:tcPr>
          <w:p w:rsidR="00000000" w:rsidDel="00000000" w:rsidP="00000000" w:rsidRDefault="00000000" w:rsidRPr="00000000" w14:paraId="00000130">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Yes</w:t>
            </w:r>
            <w:r w:rsidDel="00000000" w:rsidR="00000000" w:rsidRPr="00000000">
              <w:rPr>
                <w:rtl w:val="0"/>
              </w:rPr>
            </w:r>
          </w:p>
        </w:tc>
      </w:tr>
      <w:tr>
        <w:trPr>
          <w:cantSplit w:val="0"/>
          <w:trHeight w:val="680" w:hRule="atLeast"/>
          <w:tblHeader w:val="0"/>
        </w:trPr>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31">
            <w:pP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Industry fixing effect</w:t>
            </w:r>
            <w:r w:rsidDel="00000000" w:rsidR="00000000" w:rsidRPr="00000000">
              <w:rPr>
                <w:rtl w:val="0"/>
              </w:rPr>
            </w:r>
          </w:p>
        </w:tc>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32">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Yes</w:t>
            </w:r>
            <w:r w:rsidDel="00000000" w:rsidR="00000000" w:rsidRPr="00000000">
              <w:rPr>
                <w:rtl w:val="0"/>
              </w:rPr>
            </w:r>
          </w:p>
        </w:tc>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33">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tc>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34">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tc>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35">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tc>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36">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tc>
        <w:tc>
          <w:tcPr>
            <w:tcBorders>
              <w:top w:color="ffffff" w:space="0" w:sz="4" w:val="single"/>
              <w:left w:color="ffffff" w:space="0" w:sz="4" w:val="single"/>
              <w:right w:color="ffffff" w:space="0" w:sz="4" w:val="single"/>
            </w:tcBorders>
            <w:vAlign w:val="center"/>
          </w:tcPr>
          <w:p w:rsidR="00000000" w:rsidDel="00000000" w:rsidP="00000000" w:rsidRDefault="00000000" w:rsidRPr="00000000" w14:paraId="00000137">
            <w:pPr>
              <w:spacing w:line="288"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tc>
      </w:tr>
    </w:tbl>
    <w:p w:rsidR="00000000" w:rsidDel="00000000" w:rsidP="00000000" w:rsidRDefault="00000000" w:rsidRPr="00000000" w14:paraId="00000138">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Note:</w:t>
      </w:r>
      <w:r w:rsidDel="00000000" w:rsidR="00000000" w:rsidRPr="00000000">
        <w:rPr>
          <w:rFonts w:ascii="Times New Roman" w:cs="Times New Roman" w:eastAsia="Times New Roman" w:hAnsi="Times New Roman"/>
          <w:sz w:val="24"/>
          <w:szCs w:val="24"/>
          <w:rtl w:val="0"/>
        </w:rPr>
        <w:t xml:space="preserve"> This table reports the regression results regarding the impact of accounting comparability on stock liquidity. LIQ is representing stock liquidity based on the Amihud (2002) illiquidity ratio. To proxy for liquidity, the measure is sign-reversed and log-transformed. Column (1) LIQ covers the full sample of listed firms in Vietnam. Columns (2) through (6) represent specific sub-industries: LIQ_1 (Construction &amp; Materials), LIQ_2 (Industrial Goods &amp; Services), LIQ_3 (Utilities - Electricity, Water &amp; Petroleum), LIQ_4 (Basic Resources), and LIQ_5 (Food &amp; Beverage). COMP4 is representing accounting comparability, calculated following De Franco et al. (2011) as the average similarity score of a firm relative to its four most comparable firms within the same industry. Constant represents the intercept of the regression model. Obs denotes the number of observations in each model. Year fixing effect indicates that year fixed effects are controlled for in all models. Industry fixing effect indicates that industry fixed effects are included in the full sample analysis (Column 1) but are omitted in the sub-industry analyses (Columns 2–6) as these subsamples are already industry-specific. Robust standard errors in parentheses: ***p&lt;0.01, ** p&lt;0.05, * p&lt;0.1</w:t>
      </w:r>
    </w:p>
    <w:p w:rsidR="00000000" w:rsidDel="00000000" w:rsidP="00000000" w:rsidRDefault="00000000" w:rsidRPr="00000000" w14:paraId="00000139">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Focusing on the primary variable of interest COMP4, the regression results demonstrate a consistent correlation across both the full sample and specific industry sectors. For the full sample (Column 1), the coefficient for COMP4 is -24.437, which is statistically significant at the 1% level (p&lt;0.01). This negative coefficient signifies that as the comparability of financial statements increases, the measure of illiquidity significantly decreases. Accounting comparability exerts a positive impact by enhancing stock liquidity, as the reduction in information asymmetry and adverse selection costs facilitates a more efficient information environment for investors. Across the specific industry groups (Columns 2 - 6), the coefficients for COMP4 remain consistently negative, ranging from -21.009 to -49.442. The majority of these sectors show statistical significance at the 1% level, although the Utilities industry (Column 4) is significant at the 10% level (*) and the Industrial Goods &amp; Services industry (Column 3) is significant at the 5% level (**). Notably, the strongest impact is found in the Food &amp; Beverage industry (Column 6), which displays a coefficient of -49.442. These findings support the theoretical perspective that higher comparability improves the quality and quantity of information available to the market, thereby reducing the costs associated with processing financial data and evaluating firm performance.</w:t>
      </w:r>
    </w:p>
    <w:p w:rsidR="00000000" w:rsidDel="00000000" w:rsidP="00000000" w:rsidRDefault="00000000" w:rsidRPr="00000000" w14:paraId="0000013A">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empirical results presented in Table 4.2 (Column 1) demonstrate a contradictory trend: the dependent variable LIQ has a negative correlation with the primary explanatory variable COMP4. The regression yields a coefficient of -24.437 with a high level of statistical significance at 1% (p&lt;0.01). This negative coefficient implies that when a firm’s financial statements exhibit a higher degree of similarity with those of its industry peers, the liquidity of that firm's stock tends to be lower. This research rejects hypothesis H1. These findings reveal a reverse phenomenon in the Vietnamese market, where greater accounting information comparability is associated with lower stock liquidity. This may be attributed to the specific institutional characteristics of an emerging market like Vietnam, where fledgling institutional mechanisms and pronounced agency problems between managers and shareholders can lead to unique market reactions to disclosed information (Nguyen &amp; Nguyen, 2021). Such findings deviate from traditional expectations that comparable accounting outputs should naturally facilitate more efficient investor decision-making and enhance market depth (Amihud, 2002; Corwin &amp; Schultz, 2012).</w:t>
      </w:r>
    </w:p>
    <w:p w:rsidR="00000000" w:rsidDel="00000000" w:rsidP="00000000" w:rsidRDefault="00000000" w:rsidRPr="00000000" w14:paraId="0000013B">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empirical finding of a negative coefficient presents a stark contrast to classical evidence from the United States. De Franco et al. (2011) demonstrated that accounting comparability enhances the quantity and quality of information available to investors, with their model showing a positive impact of 0.134 on trading volume. Majeed &amp; Yan (2022) documented a negative coefficient of -0.015 (significant at the 1% level) between accounting comparability and the Amihud illiquidity index, suggesting that comparability enhances stock liquidity. In contrast, employing an inverted dependent variable , our study for the Vietnamese market yields a negative coefficient, showing that the impact is completely reversed in this specific setting. The divergent results in this study suggest that within the Vietnamese market, the traditional benefits of reduced information processing costs are overshadowed by deeper concerns regarding substantive information quality. </w:t>
      </w:r>
    </w:p>
    <w:p w:rsidR="00000000" w:rsidDel="00000000" w:rsidP="00000000" w:rsidRDefault="00000000" w:rsidRPr="00000000" w14:paraId="0000013C">
      <w:pPr>
        <w:spacing w:after="120" w:line="288" w:lineRule="auto"/>
        <w:jc w:val="both"/>
        <w:rPr>
          <w:rFonts w:ascii="Times New Roman" w:cs="Times New Roman" w:eastAsia="Times New Roman" w:hAnsi="Times New Roman"/>
          <w:b w:val="1"/>
          <w:bCs w:val="1"/>
          <w:i w:val="1"/>
          <w:iCs w:val="1"/>
          <w:sz w:val="24"/>
          <w:szCs w:val="24"/>
        </w:rPr>
      </w:pPr>
      <w:bookmarkStart w:colFirst="0" w:colLast="0" w:name="_heading=h.h9qvwpufoz3y" w:id="3"/>
      <w:bookmarkEnd w:id="3"/>
      <w:r w:rsidDel="00000000" w:rsidR="00000000" w:rsidRPr="00000000">
        <w:rPr>
          <w:rFonts w:ascii="Times New Roman" w:cs="Times New Roman" w:eastAsia="Times New Roman" w:hAnsi="Times New Roman"/>
          <w:b w:val="1"/>
          <w:bCs w:val="1"/>
          <w:i w:val="1"/>
          <w:iCs w:val="1"/>
          <w:sz w:val="24"/>
          <w:szCs w:val="24"/>
          <w:rtl w:val="0"/>
        </w:rPr>
        <w:t xml:space="preserve">4.2. Discussion</w:t>
      </w:r>
    </w:p>
    <w:p w:rsidR="00000000" w:rsidDel="00000000" w:rsidP="00000000" w:rsidRDefault="00000000" w:rsidRPr="00000000" w14:paraId="0000013D">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 of a negative relationship between accounting comparability and liquidity represents a discovery that contradicts traditional theories regarding information transparency; however, it can be interpreted through the unique characteristics of an emerging market like Vietnam.</w:t>
      </w:r>
    </w:p>
    <w:p w:rsidR="00000000" w:rsidDel="00000000" w:rsidP="00000000" w:rsidRDefault="00000000" w:rsidRPr="00000000" w14:paraId="0000013E">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phenomenon is primarily explained by Proprietary Cost Theory, as developed by Verrecchia (1983) and Li (2010). These scholars argue that providing highly detailed financial information with high levels of comparability can inadvertently disclose business secrets, cost-pricing strategies, or core competitive advantages to a firm's rivals. In the specific context of Vietnam, when investors observe financial reports that are highly similar to those of industry competitors, they may fear that the firm is forfeiting its competitive edge (Verrecchia, 1983; Li, 2010). Such concerns regarding the potential threat to future profit prospects can lead to increased investor caution and a subsequent restriction in trading activities, ultimately resulting in a reduction in stock liquidity (Bhattacharya et al., 2003).</w:t>
      </w:r>
    </w:p>
    <w:p w:rsidR="00000000" w:rsidDel="00000000" w:rsidP="00000000" w:rsidRDefault="00000000" w:rsidRPr="00000000" w14:paraId="0000013F">
      <w:pPr>
        <w:spacing w:after="120" w:line="288" w:lineRule="auto"/>
        <w:ind w:firstLine="425"/>
        <w:jc w:val="both"/>
        <w:rPr>
          <w:rFonts w:ascii="Times New Roman" w:cs="Times New Roman" w:eastAsia="Times New Roman" w:hAnsi="Times New Roman"/>
          <w:sz w:val="24"/>
          <w:szCs w:val="24"/>
        </w:rPr>
      </w:pPr>
      <w:bookmarkStart w:colFirst="0" w:colLast="0" w:name="_heading=h.dq949fmmh885" w:id="4"/>
      <w:bookmarkEnd w:id="4"/>
      <w:r w:rsidDel="00000000" w:rsidR="00000000" w:rsidRPr="00000000">
        <w:rPr>
          <w:rFonts w:ascii="Times New Roman" w:cs="Times New Roman" w:eastAsia="Times New Roman" w:hAnsi="Times New Roman"/>
          <w:sz w:val="24"/>
          <w:szCs w:val="24"/>
          <w:rtl w:val="0"/>
        </w:rPr>
        <w:t xml:space="preserve">Another phenomenon, artificial comparability or herding behavior, provides a plausible explanation for these findings.. Within the Vietnamese market, where corporate governance mechanisms are still maturing, some firms may engage in herding accounting policies of industry leaders to conceal internal inefficiencies or project a veneer of safety. When accounting comparability increases due to this mechanical imitation rather than genuine economic similarity, it creates information noise (Verrecchia, 1983). As observed in the specific context of Vietnam, a modest level of comparability does not always signal a firm's commitment to transparency; instead, it may merely be a byproduct of the mandatory application of the existing accounting framework (Nguyen &amp; Nguyen, 2021). Consequently, sophisticated investors may interpret such high levels of similarity as a sign of hidden governance risks or a lack of substantive transparency (Nguyen &amp; Nguyen, 2021). This perception of earnings opacity increases the informational risk and adverse selection problems market participants face, prompting them to withdraw from the stock and leading to a significant decline in liquidity (Bhattacharya et al., 2003).</w:t>
      </w:r>
    </w:p>
    <w:p w:rsidR="00000000" w:rsidDel="00000000" w:rsidP="00000000" w:rsidRDefault="00000000" w:rsidRPr="00000000" w14:paraId="00000140">
      <w:pPr>
        <w:spacing w:after="120" w:line="288"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Conclusion</w:t>
      </w:r>
    </w:p>
    <w:p w:rsidR="00000000" w:rsidDel="00000000" w:rsidP="00000000" w:rsidRDefault="00000000" w:rsidRPr="00000000" w14:paraId="00000141">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examines the effect of accounting comparability on stock liquidity in the Vietnamese stock market over the period 2014-2024. Stock illiquidity is measured using the Amihud (2002) measure, while accounting comparability is captured following De Franco et al. (2011). The empirical analysis relies on a sample of 256 non-financial listed firms. The results do not support hypothesis H1 and indicate a negative association between accounting comparability and stock liquidity. The estimated coefficient on COMP4 equals -24.437 and remains statistically significant at the 1% level, suggesting that higher accounting comparability is associated with lower stock liquidity.</w:t>
      </w:r>
    </w:p>
    <w:p w:rsidR="00000000" w:rsidDel="00000000" w:rsidP="00000000" w:rsidRDefault="00000000" w:rsidRPr="00000000" w14:paraId="00000142">
      <w:pPr>
        <w:spacing w:after="120" w:line="288" w:lineRule="auto"/>
        <w:ind w:firstLine="425"/>
        <w:jc w:val="both"/>
        <w:rPr>
          <w:rFonts w:ascii="Times New Roman" w:cs="Times New Roman" w:eastAsia="Times New Roman" w:hAnsi="Times New Roman"/>
          <w:sz w:val="24"/>
          <w:szCs w:val="24"/>
        </w:rPr>
        <w:sectPr>
          <w:footerReference r:id="rId9" w:type="default"/>
          <w:pgSz w:h="16839" w:w="11907" w:orient="portrait"/>
          <w:pgMar w:bottom="1134" w:top="1134" w:left="1134" w:right="1134" w:header="567" w:footer="397"/>
          <w:pgNumType w:start="1"/>
        </w:sectPr>
      </w:pPr>
      <w:r w:rsidDel="00000000" w:rsidR="00000000" w:rsidRPr="00000000">
        <w:rPr>
          <w:rFonts w:ascii="Times New Roman" w:cs="Times New Roman" w:eastAsia="Times New Roman" w:hAnsi="Times New Roman"/>
          <w:sz w:val="24"/>
          <w:szCs w:val="24"/>
          <w:rtl w:val="0"/>
        </w:rPr>
        <w:t xml:space="preserve">This finding reflects institutional features of emerging markets such as Vietnam, where high similarity in accounting information may weaken informational value for trading decisions. When firms report highly comparable financial outcomes, investors face fewer incentives to trade based on firm-specific information, which may reduce trading activity and market liquidity. Industry-level analysis confirms consistency of this negative relationship across sectors, with estimated coefficients ranging from -21.009 to -49.442. The Food and Beverage sector exhibits the strongest effect, while the Utilities sector shows weaker magnitude and statistical significance at the 10% level. These results highlight that the liquidity role of accounting comparability varies across industries and depends on market structure and informational environment.</w:t>
      </w:r>
    </w:p>
    <w:p w:rsidR="00000000" w:rsidDel="00000000" w:rsidP="00000000" w:rsidRDefault="00000000" w:rsidRPr="00000000" w14:paraId="00000143">
      <w:pPr>
        <w:spacing w:line="288"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rPr>
          <w:b w:val="1"/>
          <w:bCs w:val="1"/>
        </w:rPr>
      </w:pPr>
      <w:r w:rsidDel="00000000" w:rsidR="00000000" w:rsidRPr="00000000">
        <w:rPr>
          <w:rFonts w:ascii="Times New Roman" w:cs="Times New Roman" w:eastAsia="Times New Roman" w:hAnsi="Times New Roman"/>
          <w:b w:val="1"/>
          <w:bCs w:val="1"/>
          <w:sz w:val="24"/>
          <w:szCs w:val="24"/>
          <w:rtl w:val="0"/>
        </w:rPr>
        <w:t xml:space="preserve">TÀI LIỆU THAM KHẢO</w:t>
      </w:r>
      <w:r w:rsidDel="00000000" w:rsidR="00000000" w:rsidRPr="00000000">
        <w:rPr>
          <w:rtl w:val="0"/>
        </w:rPr>
      </w:r>
    </w:p>
    <w:p w:rsidR="00000000" w:rsidDel="00000000" w:rsidP="00000000" w:rsidRDefault="00000000" w:rsidRPr="00000000" w14:paraId="000001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Ali, S., Liu, B., &amp; Su, J. J. (2017). Corporate governance and stock liquidity dimensions: Panel evidence from pure order-driven Australian market.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International Review of Economics &amp; Finance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50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275-304.</w:t>
      </w:r>
    </w:p>
    <w:p w:rsidR="00000000" w:rsidDel="00000000" w:rsidP="00000000" w:rsidRDefault="00000000" w:rsidRPr="00000000" w14:paraId="000001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Amihud, Y. (2002). Illiquidity and stock returns: cross-section and time-series effects.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financial markets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31-56.</w:t>
      </w:r>
    </w:p>
    <w:p w:rsidR="00000000" w:rsidDel="00000000" w:rsidP="00000000" w:rsidRDefault="00000000" w:rsidRPr="00000000" w14:paraId="000001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Amihud, Y., &amp; Levi, S. (2023). The effect of stock liquidity on the firm’s investment and production. The Review of Financial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1094-1147.</w:t>
      </w:r>
    </w:p>
    <w:p w:rsidR="00000000" w:rsidDel="00000000" w:rsidP="00000000" w:rsidRDefault="00000000" w:rsidRPr="00000000" w14:paraId="000001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Becker‐Blease, J. R., &amp; Paul, D. L. (2006). Stock liquidity and investment opportunities: Evidence from index additions.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Financial management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35-51.</w:t>
      </w:r>
    </w:p>
    <w:p w:rsidR="00000000" w:rsidDel="00000000" w:rsidP="00000000" w:rsidRDefault="00000000" w:rsidRPr="00000000" w14:paraId="000001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Będowska-Sójka, B. (2018). The coherence of liquidity measures: The evidence from the emerging market.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Finance Research Letters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54-60. </w:t>
      </w:r>
    </w:p>
    <w:p w:rsidR="00000000" w:rsidDel="00000000" w:rsidP="00000000" w:rsidRDefault="00000000" w:rsidRPr="00000000" w14:paraId="000001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Bhattacharya, U., Daouk, H., &amp; Welker, M. (2003). The world price of earnings opacity.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accounting review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78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641-678.</w:t>
      </w:r>
    </w:p>
    <w:p w:rsidR="00000000" w:rsidDel="00000000" w:rsidP="00000000" w:rsidRDefault="00000000" w:rsidRPr="00000000" w14:paraId="000001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Cakici, N., &amp; Zaremba, A. (2021). Liquidity and the cross-section of international stock returns.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Banking &amp; Finance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127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106123.</w:t>
      </w:r>
    </w:p>
    <w:p w:rsidR="00000000" w:rsidDel="00000000" w:rsidP="00000000" w:rsidRDefault="00000000" w:rsidRPr="00000000" w14:paraId="000001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CAO, M. M., NGUYEN, N. T., &amp; TRAN, T. T. (2021). Behavioral factors on individual investors' decision making and investment performance: A survey from the Vietnam Stock Market.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Journal of Asian Finance, Economics and Business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845-853.</w:t>
      </w:r>
    </w:p>
    <w:p w:rsidR="00000000" w:rsidDel="00000000" w:rsidP="00000000" w:rsidRDefault="00000000" w:rsidRPr="00000000" w14:paraId="000001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Chen, C. W., Collins, D. W., Kravet, T. D., &amp; Mergenthaler, R. D. (2018). Financial statement comparability and the efficiency of acquisition decisions.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Contemporary Accounting Research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164-202.</w:t>
      </w:r>
    </w:p>
    <w:p w:rsidR="00000000" w:rsidDel="00000000" w:rsidP="00000000" w:rsidRDefault="00000000" w:rsidRPr="00000000" w14:paraId="000001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Chircop, J. (2024). The relation between accounting comparability and firm productivity.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Accounting, Auditing &amp; Finance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29-56.</w:t>
      </w:r>
    </w:p>
    <w:p w:rsidR="00000000" w:rsidDel="00000000" w:rsidP="00000000" w:rsidRDefault="00000000" w:rsidRPr="00000000" w14:paraId="000001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Corwin, S. A., &amp; Schultz, P. (2012). A Simple Way to Estimate Bid‐Ask Spreads from Daily High and Low Prices.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Journal of Finance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67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719-760.</w:t>
      </w:r>
    </w:p>
    <w:p w:rsidR="00000000" w:rsidDel="00000000" w:rsidP="00000000" w:rsidRDefault="00000000" w:rsidRPr="00000000" w14:paraId="000001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 Franco, G., Kothari, S. P., &amp; Verdi, R. S. (2011). The benefits of financial statement comparability.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Accounting Research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895-931.</w:t>
      </w:r>
    </w:p>
    <w:p w:rsidR="00000000" w:rsidDel="00000000" w:rsidP="00000000" w:rsidRDefault="00000000" w:rsidRPr="00000000" w14:paraId="000001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Dinh, N. B., &amp; Tran, H. N. S. (2023). Stock liquidity and stock price crash risk: Evidence from Vietnam.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Cogent Business &amp; Management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2277481.</w:t>
      </w:r>
    </w:p>
    <w:p w:rsidR="00000000" w:rsidDel="00000000" w:rsidP="00000000" w:rsidRDefault="00000000" w:rsidRPr="00000000" w14:paraId="000001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Financial Accounting Standards Board. (2010).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Statement of Financial Accounting Concepts No. 8: Conceptual framework for financial reporting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Financial Accounting Standards Board.</w:t>
      </w:r>
    </w:p>
    <w:p w:rsidR="00000000" w:rsidDel="00000000" w:rsidP="00000000" w:rsidRDefault="00000000" w:rsidRPr="00000000" w14:paraId="000001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FTSE Russell. (2025).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FTSE classification of equity markets: FTSE equity country classification-September 2025 announcement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FTSE Russell.</w:t>
      </w:r>
    </w:p>
    <w:p w:rsidR="00000000" w:rsidDel="00000000" w:rsidP="00000000" w:rsidRDefault="00000000" w:rsidRPr="00000000" w14:paraId="000001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Harris, L. (2002).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Trading and exchanges: Market microstructure for practitioners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Oxford university press.</w:t>
      </w:r>
    </w:p>
    <w:p w:rsidR="00000000" w:rsidDel="00000000" w:rsidP="00000000" w:rsidRDefault="00000000" w:rsidRPr="00000000" w14:paraId="000001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Huang, W., &amp; Mazouz, K. (2018). Excess cash, trading continuity, and liquidity risk.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Corporate Finance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48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275-291.</w:t>
      </w:r>
    </w:p>
    <w:p w:rsidR="00000000" w:rsidDel="00000000" w:rsidP="00000000" w:rsidRDefault="00000000" w:rsidRPr="00000000" w14:paraId="000001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Imhof, M. J., Seavey, S. E., &amp; Watanabe, O. V. (2022). Competition, proprietary costs of financial reporting, and financial statement comparability.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Accounting, Auditing &amp; Finance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114-142.</w:t>
      </w:r>
    </w:p>
    <w:p w:rsidR="00000000" w:rsidDel="00000000" w:rsidP="00000000" w:rsidRDefault="00000000" w:rsidRPr="00000000" w14:paraId="000001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International Accounting Standards Board. (2018).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Conceptual framework for financial reporting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Financial Accounting Standards Board.</w:t>
      </w:r>
    </w:p>
    <w:p w:rsidR="00000000" w:rsidDel="00000000" w:rsidP="00000000" w:rsidRDefault="00000000" w:rsidRPr="00000000" w14:paraId="000001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Kim, J. B., Li, L., Lu, L. Y., &amp; Yu, Y. (2021). Financial statement comparability and managers’ use of corporate resources.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Accounting &amp; Finance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61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1697-1742.</w:t>
      </w:r>
    </w:p>
    <w:p w:rsidR="00000000" w:rsidDel="00000000" w:rsidP="00000000" w:rsidRDefault="00000000" w:rsidRPr="00000000" w14:paraId="000001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Kim, S., Kraft, P., &amp; Ryan, S. G. (2013). Financial statement comparability and credit risk.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Review of Accounting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783-823.</w:t>
      </w:r>
    </w:p>
    <w:p w:rsidR="00000000" w:rsidDel="00000000" w:rsidP="00000000" w:rsidRDefault="00000000" w:rsidRPr="00000000" w14:paraId="000001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 X. (2010). The impacts of product market competition on the quantity and quality of voluntary disclosures.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Review of Accounting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663-711.</w:t>
      </w:r>
    </w:p>
    <w:p w:rsidR="00000000" w:rsidDel="00000000" w:rsidP="00000000" w:rsidRDefault="00000000" w:rsidRPr="00000000" w14:paraId="000001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Liu, W. (2006). A liquidity-augmented capital asset pricing model.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Financial Economics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82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631-671.</w:t>
      </w:r>
    </w:p>
    <w:p w:rsidR="00000000" w:rsidDel="00000000" w:rsidP="00000000" w:rsidRDefault="00000000" w:rsidRPr="00000000" w14:paraId="000001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Liu, W., &amp; Suzuki, Y. (2024). Stock liquidity, financial constraints, and innovation in Chinese SMEs.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Financial Innovation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91.</w:t>
      </w:r>
    </w:p>
    <w:p w:rsidR="00000000" w:rsidDel="00000000" w:rsidP="00000000" w:rsidRDefault="00000000" w:rsidRPr="00000000" w14:paraId="000001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Majeed, M. A., &amp; Yan, C. (2022). Financial statement comparability and stock liquidity: evidence from China.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Applied Economics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54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(47), 5497-5514.</w:t>
      </w:r>
    </w:p>
    <w:p w:rsidR="00000000" w:rsidDel="00000000" w:rsidP="00000000" w:rsidRDefault="00000000" w:rsidRPr="00000000" w14:paraId="000001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Nguyen, C. et al. (2021). Internet search intensity, liquidity and returns in emerging markets.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Research in International Business and Finance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55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101344.</w:t>
      </w:r>
    </w:p>
    <w:p w:rsidR="00000000" w:rsidDel="00000000" w:rsidP="00000000" w:rsidRDefault="00000000" w:rsidRPr="00000000" w14:paraId="000001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Nguyen, L. T., &amp; Nguyen, K. V. (2021). Accounting comparability and cash holdings in Vietnam.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International Journal of Financial Studies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27.</w:t>
      </w:r>
    </w:p>
    <w:p w:rsidR="00000000" w:rsidDel="00000000" w:rsidP="00000000" w:rsidRDefault="00000000" w:rsidRPr="00000000" w14:paraId="000001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Paul, T., Aryoubi, A., &amp; Walther, T. (2025). Reassessing the illiquidity-Return relationship: Evidence from Germany, the UK, and the U.S.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International Review of Financial Analysis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106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104469.</w:t>
      </w:r>
    </w:p>
    <w:p w:rsidR="00000000" w:rsidDel="00000000" w:rsidP="00000000" w:rsidRDefault="00000000" w:rsidRPr="00000000" w14:paraId="000001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Sharma, P., &amp; Paul, S. (2015). Does liquidity determine capital structure? Evidence from India.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Global Business Review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84-95.</w:t>
      </w:r>
    </w:p>
    <w:p w:rsidR="00000000" w:rsidDel="00000000" w:rsidP="00000000" w:rsidRDefault="00000000" w:rsidRPr="00000000" w14:paraId="000001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Stiglitz, S. J. G. a. J. E. (1980). On the Impossibility of Informationally Efficient Markets.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American Economic Review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70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393-408.</w:t>
      </w:r>
    </w:p>
    <w:p w:rsidR="00000000" w:rsidDel="00000000" w:rsidP="00000000" w:rsidRDefault="00000000" w:rsidRPr="00000000" w14:paraId="000001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Nguyenm T. L. (2021). Accounting comparability and accruals-based earnings management: Evidence on listed firms in an emerging market.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Cogent Business &amp; Management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1923356.</w:t>
      </w:r>
    </w:p>
    <w:p w:rsidR="00000000" w:rsidDel="00000000" w:rsidP="00000000" w:rsidRDefault="00000000" w:rsidRPr="00000000" w14:paraId="000001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Thủ tướng Chính phủ. (2014).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Quyết định số 2014/QĐ-TTg phê duyệt Đề án nâng hạng thị trường chứng khoán Việt Nam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Chính phủ Việt Nam.</w:t>
      </w:r>
    </w:p>
    <w:p w:rsidR="00000000" w:rsidDel="00000000" w:rsidP="00000000" w:rsidRDefault="00000000" w:rsidRPr="00000000" w14:paraId="000001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 L. T. H., Hoang, T. T. P., &amp; Tran, H. X. (2018). Stock liquidity and ownership structure during and after the 2008 Global Financial Crisis: Empirical evidence from an emerging market.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Emerging Markets Review</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114-133.</w:t>
      </w:r>
    </w:p>
    <w:p w:rsidR="00000000" w:rsidDel="00000000" w:rsidP="00000000" w:rsidRDefault="00000000" w:rsidRPr="00000000" w14:paraId="000001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 T. H., &amp; Tran, M. D. (2024). Tính thích hợp của thông tin kế toán: Bằng chứng thực nghiệm từ thị trường chứng khoán Việt Nam. Tạp Chí Kinh Tế Và Phát triển, 325, 42-51.</w:t>
      </w:r>
    </w:p>
    <w:p w:rsidR="00000000" w:rsidDel="00000000" w:rsidP="00000000" w:rsidRDefault="00000000" w:rsidRPr="00000000" w14:paraId="000001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Verrecchia, R. E. (1983). Discretionary disclosure.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Journal of Accounting and Economics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179-194.</w:t>
      </w:r>
    </w:p>
    <w:p w:rsidR="00000000" w:rsidDel="00000000" w:rsidP="00000000" w:rsidRDefault="00000000" w:rsidRPr="00000000" w14:paraId="000001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 X. V. (2016). Foreign ownership and stock market liquidity-evidence from Vietnam.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Afro-Asian Journal of Finance and Accounting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1-11.</w:t>
      </w:r>
    </w:p>
    <w:p w:rsidR="00000000" w:rsidDel="00000000" w:rsidP="00000000" w:rsidRDefault="00000000" w:rsidRPr="00000000" w14:paraId="000001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 X. V., &amp; Phan, D. B. A. (2016). Herd Behavior in Emerging Equity Markets: Evidence from Vietnam.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Asian Journal of Law and Economics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369-383.</w:t>
      </w:r>
    </w:p>
    <w:p w:rsidR="00000000" w:rsidDel="00000000" w:rsidP="00000000" w:rsidRDefault="00000000" w:rsidRPr="00000000" w14:paraId="000001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Vuong, T. H. G., Nguyen, V. P., &amp; Nguyen, H. M. (2025). Does stock liquidity matter for corporate cash holdings? Insights from a transition economy.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Global Finance Journal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65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101102.</w:t>
      </w:r>
    </w:p>
    <w:p w:rsidR="00000000" w:rsidDel="00000000" w:rsidP="00000000" w:rsidRDefault="00000000" w:rsidRPr="00000000" w14:paraId="000001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426" w:right="0" w:hanging="56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Zafar, Q., Wongsurawat, W., &amp; Camino, D. (2019). The determinants of leverage decisions: Evidence from Asian emerging markets.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Cogent Economics &amp; Finance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Article 1598836.</w:t>
      </w:r>
    </w:p>
    <w:p w:rsidR="00000000" w:rsidDel="00000000" w:rsidP="00000000" w:rsidRDefault="00000000" w:rsidRPr="00000000" w14:paraId="0000016C">
      <w:pPr>
        <w:spacing w:line="360" w:lineRule="auto"/>
        <w:ind w:left="426" w:hanging="426"/>
        <w:jc w:val="both"/>
        <w:rPr>
          <w:rFonts w:ascii="Times New Roman" w:cs="Times New Roman" w:eastAsia="Times New Roman" w:hAnsi="Times New Roman"/>
          <w:b w:val="1"/>
          <w:bCs w:val="1"/>
          <w:sz w:val="24"/>
          <w:szCs w:val="24"/>
        </w:rPr>
      </w:pPr>
      <w:r w:rsidDel="00000000" w:rsidR="00000000" w:rsidRPr="00000000">
        <w:rPr>
          <w:rtl w:val="0"/>
        </w:rPr>
      </w:r>
    </w:p>
    <w:sectPr>
      <w:footerReference r:id="rId10" w:type="default"/>
      <w:type w:val="nextPage"/>
      <w:pgSz w:h="16839"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E">
    <w:pPr>
      <w:tabs>
        <w:tab w:val="center" w:leader="none" w:pos="4680"/>
        <w:tab w:val="right" w:leader="none" w:pos="9360"/>
      </w:tabs>
      <w:spacing w:line="240" w:lineRule="auto"/>
      <w:jc w:val="right"/>
      <w:rPr>
        <w:color w:val="000000"/>
      </w:rPr>
    </w:pPr>
    <w:r w:rsidDel="00000000" w:rsidR="00000000" w:rsidRPr="00000000">
      <w:rPr>
        <w:rFonts w:ascii="Times New Roman" w:cs="Times New Roman" w:eastAsia="Times New Roman" w:hAnsi="Times New Roman"/>
        <w:b w:val="1"/>
        <w:bCs w:val="1"/>
        <w:sz w:val="24"/>
        <w:szCs w:val="24"/>
        <w:rtl w:val="0"/>
      </w:rPr>
      <w:t xml:space="preserve">FTU Working Paper Series, Vol.2  No.3  (01/2025) | </w:t>
    </w:r>
    <w:r w:rsidDel="00000000" w:rsidR="00000000" w:rsidRPr="00000000">
      <w:rPr>
        <w:rFonts w:ascii="Times New Roman" w:cs="Times New Roman" w:eastAsia="Times New Roman" w:hAnsi="Times New Roman"/>
        <w:b w:val="1"/>
        <w:bCs w:val="1"/>
        <w:sz w:val="26"/>
        <w:szCs w:val="2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FTU Working Paper Series, Vol.  No.  (01/2025)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6D">
      <w:pPr>
        <w:spacing w:before="20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Tác giả liên hệ, Email: k62.2311825012@ftu.edu.vn</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3D3B15"/>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3D3B15"/>
    <w:pPr>
      <w:ind w:left="720"/>
      <w:contextualSpacing w:val="1"/>
    </w:pPr>
  </w:style>
  <w:style w:type="paragraph" w:styleId="Header">
    <w:name w:val="header"/>
    <w:basedOn w:val="Normal"/>
    <w:link w:val="HeaderChar"/>
    <w:uiPriority w:val="99"/>
    <w:unhideWhenUsed w:val="1"/>
    <w:rsid w:val="00C76B77"/>
    <w:pPr>
      <w:tabs>
        <w:tab w:val="center" w:pos="4680"/>
        <w:tab w:val="right" w:pos="9360"/>
      </w:tabs>
      <w:spacing w:line="240" w:lineRule="auto"/>
    </w:pPr>
  </w:style>
  <w:style w:type="character" w:styleId="HeaderChar" w:customStyle="1">
    <w:name w:val="Header Char"/>
    <w:basedOn w:val="DefaultParagraphFont"/>
    <w:link w:val="Header"/>
    <w:uiPriority w:val="99"/>
    <w:rsid w:val="00C76B77"/>
  </w:style>
  <w:style w:type="paragraph" w:styleId="Footer">
    <w:name w:val="footer"/>
    <w:basedOn w:val="Normal"/>
    <w:link w:val="FooterChar"/>
    <w:uiPriority w:val="99"/>
    <w:unhideWhenUsed w:val="1"/>
    <w:rsid w:val="00C76B77"/>
    <w:pPr>
      <w:tabs>
        <w:tab w:val="center" w:pos="4680"/>
        <w:tab w:val="right" w:pos="9360"/>
      </w:tabs>
      <w:spacing w:line="240" w:lineRule="auto"/>
    </w:pPr>
  </w:style>
  <w:style w:type="character" w:styleId="FooterChar" w:customStyle="1">
    <w:name w:val="Footer Char"/>
    <w:basedOn w:val="DefaultParagraphFont"/>
    <w:link w:val="Footer"/>
    <w:uiPriority w:val="99"/>
    <w:rsid w:val="00C76B77"/>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3ro2ZmqqpOtUCB07ueRI2kcBw==">CgMxLjAyDmgudG8yNXp2bTV0bDd4Mg5oLnc3NHB3cDh6OGlvbzIOaC5iZ3UxZTh4YTJjc2wyDmguaDlxdndwdWZvejN5Mg5oLmRxOTQ5Zm1taDg4NTgAciExa0psMHp3Y0x1dlNraGZVWmxFeXFoZDRYUHI2dlJFM0Y=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2026-05-20T14:14:00Z</dcterms:created>
  <dc:creator>Thảo Ngọc</dc:creator>
</cp:coreProperties>
</file>