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1.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263"/>
        <w:gridCol w:w="7368"/>
        <w:tblGridChange w:id="0">
          <w:tblGrid>
            <w:gridCol w:w="2263"/>
            <w:gridCol w:w="7368"/>
          </w:tblGrid>
        </w:tblGridChange>
      </w:tblGrid>
      <w:tr>
        <w:trPr>
          <w:cantSplit w:val="0"/>
          <w:trHeight w:val="414" w:hRule="atLeast"/>
          <w:tblHeader w:val="0"/>
        </w:trPr>
        <w:tc>
          <w:tcPr>
            <w:vMerge w:val="restart"/>
          </w:tcPr>
          <w:p w:rsidR="00000000" w:rsidDel="00000000" w:rsidP="00000000" w:rsidRDefault="00000000" w:rsidRPr="00000000" w14:paraId="00000002">
            <w:pPr>
              <w:spacing w:after="120" w:line="288" w:lineRule="auto"/>
              <w:rPr/>
            </w:pPr>
            <w:r w:rsidDel="00000000" w:rsidR="00000000" w:rsidRPr="00000000">
              <w:rPr/>
              <w:drawing>
                <wp:inline distB="114300" distT="114300" distL="114300" distR="114300">
                  <wp:extent cx="1304925" cy="1854200"/>
                  <wp:effectExtent b="0" l="0" r="0" t="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304925" cy="18542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pStyle w:val="Heading1"/>
              <w:spacing w:after="120" w:line="288" w:lineRule="auto"/>
              <w:rPr>
                <w:sz w:val="32"/>
                <w:szCs w:val="32"/>
              </w:rPr>
            </w:pPr>
            <w:r w:rsidDel="00000000" w:rsidR="00000000" w:rsidRPr="00000000">
              <w:rPr>
                <w:rtl w:val="0"/>
              </w:rPr>
            </w:r>
          </w:p>
        </w:tc>
      </w:tr>
      <w:tr>
        <w:trPr>
          <w:cantSplit w:val="0"/>
          <w:trHeight w:val="1553" w:hRule="atLeast"/>
          <w:tblHeader w:val="0"/>
        </w:trPr>
        <w:tc>
          <w:tcPr>
            <w:vMerge w:val="continue"/>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c>
        <w:tc>
          <w:tcPr>
            <w:shd w:fill="d9d9d9" w:val="clear"/>
          </w:tcPr>
          <w:p w:rsidR="00000000" w:rsidDel="00000000" w:rsidP="00000000" w:rsidRDefault="00000000" w:rsidRPr="00000000" w14:paraId="00000005">
            <w:pPr>
              <w:pStyle w:val="Heading1"/>
              <w:spacing w:after="120" w:line="288" w:lineRule="auto"/>
              <w:jc w:val="center"/>
              <w:rPr>
                <w:sz w:val="24"/>
                <w:szCs w:val="24"/>
              </w:rPr>
            </w:pPr>
            <w:r w:rsidDel="00000000" w:rsidR="00000000" w:rsidRPr="00000000">
              <w:rPr>
                <w:rtl w:val="0"/>
              </w:rPr>
            </w:r>
          </w:p>
          <w:p w:rsidR="00000000" w:rsidDel="00000000" w:rsidP="00000000" w:rsidRDefault="00000000" w:rsidRPr="00000000" w14:paraId="00000006">
            <w:pPr>
              <w:pStyle w:val="Heading1"/>
              <w:spacing w:after="120" w:line="288" w:lineRule="auto"/>
              <w:jc w:val="center"/>
              <w:rPr>
                <w:sz w:val="24"/>
                <w:szCs w:val="24"/>
              </w:rPr>
            </w:pPr>
            <w:r w:rsidDel="00000000" w:rsidR="00000000" w:rsidRPr="00000000">
              <w:rPr>
                <w:sz w:val="24"/>
                <w:szCs w:val="24"/>
                <w:rtl w:val="0"/>
              </w:rPr>
              <w:t xml:space="preserve">Working paper 2026.2.3.14</w:t>
            </w:r>
          </w:p>
          <w:p w:rsidR="00000000" w:rsidDel="00000000" w:rsidP="00000000" w:rsidRDefault="00000000" w:rsidRPr="00000000" w14:paraId="00000007">
            <w:pPr>
              <w:spacing w:after="120" w:line="288" w:lineRule="auto"/>
              <w:jc w:val="center"/>
              <w:rPr>
                <w:b w:val="1"/>
                <w:bCs w:val="1"/>
                <w:sz w:val="24"/>
                <w:szCs w:val="24"/>
              </w:rPr>
            </w:pPr>
            <w:r w:rsidDel="00000000" w:rsidR="00000000" w:rsidRPr="00000000">
              <w:rPr>
                <w:b w:val="1"/>
                <w:bCs w:val="1"/>
                <w:sz w:val="24"/>
                <w:szCs w:val="24"/>
                <w:rtl w:val="0"/>
              </w:rPr>
              <w:t xml:space="preserve">- Vol.2 , No.3</w:t>
            </w:r>
          </w:p>
        </w:tc>
      </w:tr>
      <w:tr>
        <w:trPr>
          <w:cantSplit w:val="0"/>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p w:rsidR="00000000" w:rsidDel="00000000" w:rsidP="00000000" w:rsidRDefault="00000000" w:rsidRPr="00000000" w14:paraId="00000009">
            <w:pPr>
              <w:pStyle w:val="Heading1"/>
              <w:spacing w:after="120" w:line="288" w:lineRule="auto"/>
              <w:jc w:val="center"/>
              <w:rPr>
                <w:sz w:val="32"/>
                <w:szCs w:val="32"/>
              </w:rPr>
            </w:pPr>
            <w:r w:rsidDel="00000000" w:rsidR="00000000" w:rsidRPr="00000000">
              <w:rPr>
                <w:rtl w:val="0"/>
              </w:rPr>
            </w:r>
          </w:p>
        </w:tc>
      </w:tr>
    </w:tbl>
    <w:p w:rsidR="00000000" w:rsidDel="00000000" w:rsidP="00000000" w:rsidRDefault="00000000" w:rsidRPr="00000000" w14:paraId="0000000A">
      <w:pPr>
        <w:pStyle w:val="Heading1"/>
        <w:spacing w:after="120" w:before="120" w:line="288" w:lineRule="auto"/>
        <w:jc w:val="center"/>
        <w:rPr>
          <w:sz w:val="24"/>
          <w:szCs w:val="24"/>
        </w:rPr>
      </w:pPr>
      <w:r w:rsidDel="00000000" w:rsidR="00000000" w:rsidRPr="00000000">
        <w:rPr>
          <w:sz w:val="24"/>
          <w:szCs w:val="24"/>
          <w:rtl w:val="0"/>
        </w:rPr>
        <w:t xml:space="preserve">TÁC ĐỘNG CỦA VIỆC CÔNG BỐ CÁC MỤC TIÊU PHÁT TRIỂN BỀN VỮNG (SDGs) ĐẾN HÀNH VI QUẢN TRỊ LỢI NHUẬN: BẰNG CHỨNG TỪ CÁC CÔNG TY NIÊM YẾT TẠI VIỆT NAM</w:t>
      </w:r>
    </w:p>
    <w:p w:rsidR="00000000" w:rsidDel="00000000" w:rsidP="00000000" w:rsidRDefault="00000000" w:rsidRPr="00000000" w14:paraId="0000000B">
      <w:pPr>
        <w:spacing w:after="120" w:line="288" w:lineRule="auto"/>
        <w:jc w:val="center"/>
        <w:rPr>
          <w:b w:val="1"/>
          <w:bCs w:val="1"/>
          <w:sz w:val="24"/>
          <w:szCs w:val="24"/>
        </w:rPr>
      </w:pPr>
      <w:r w:rsidDel="00000000" w:rsidR="00000000" w:rsidRPr="00000000">
        <w:rPr>
          <w:b w:val="1"/>
          <w:bCs w:val="1"/>
          <w:sz w:val="24"/>
          <w:szCs w:val="24"/>
          <w:rtl w:val="0"/>
        </w:rPr>
        <w:t xml:space="preserve">Hà Nguyễn Trâm Anh</w:t>
      </w:r>
      <w:r w:rsidDel="00000000" w:rsidR="00000000" w:rsidRPr="00000000">
        <w:rPr>
          <w:b w:val="1"/>
          <w:bCs w:val="1"/>
          <w:sz w:val="24"/>
          <w:szCs w:val="24"/>
          <w:vertAlign w:val="superscript"/>
          <w:rtl w:val="0"/>
        </w:rPr>
        <w:t xml:space="preserve">1</w:t>
      </w:r>
      <w:r w:rsidDel="00000000" w:rsidR="00000000" w:rsidRPr="00000000">
        <w:rPr>
          <w:b w:val="1"/>
          <w:bCs w:val="1"/>
          <w:sz w:val="24"/>
          <w:szCs w:val="24"/>
          <w:rtl w:val="0"/>
        </w:rPr>
        <w:t xml:space="preserve">,</w:t>
      </w:r>
    </w:p>
    <w:p w:rsidR="00000000" w:rsidDel="00000000" w:rsidP="00000000" w:rsidRDefault="00000000" w:rsidRPr="00000000" w14:paraId="0000000C">
      <w:pPr>
        <w:spacing w:after="120" w:line="288" w:lineRule="auto"/>
        <w:jc w:val="center"/>
        <w:rPr>
          <w:sz w:val="24"/>
          <w:szCs w:val="24"/>
        </w:rPr>
      </w:pPr>
      <w:r w:rsidDel="00000000" w:rsidR="00000000" w:rsidRPr="00000000">
        <w:rPr>
          <w:sz w:val="24"/>
          <w:szCs w:val="24"/>
          <w:rtl w:val="0"/>
        </w:rPr>
        <w:t xml:space="preserve">Sinh viên K62 Kế toán - Kiểm toán – Khoa QTKD &amp; TCKT</w:t>
      </w:r>
    </w:p>
    <w:p w:rsidR="00000000" w:rsidDel="00000000" w:rsidP="00000000" w:rsidRDefault="00000000" w:rsidRPr="00000000" w14:paraId="0000000D">
      <w:pPr>
        <w:spacing w:after="120" w:line="288" w:lineRule="auto"/>
        <w:jc w:val="center"/>
        <w:rPr>
          <w:i w:val="1"/>
          <w:iCs w:val="1"/>
          <w:sz w:val="24"/>
          <w:szCs w:val="24"/>
        </w:rPr>
      </w:pPr>
      <w:r w:rsidDel="00000000" w:rsidR="00000000" w:rsidRPr="00000000">
        <w:rPr>
          <w:i w:val="1"/>
          <w:iCs w:val="1"/>
          <w:sz w:val="24"/>
          <w:szCs w:val="24"/>
          <w:rtl w:val="0"/>
        </w:rPr>
        <w:t xml:space="preserve">Phân hiệu Trường Đại học Ngoại thương, TP. Hồ Chí Minh , Việt Nam</w:t>
      </w:r>
    </w:p>
    <w:p w:rsidR="00000000" w:rsidDel="00000000" w:rsidP="00000000" w:rsidRDefault="00000000" w:rsidRPr="00000000" w14:paraId="0000000E">
      <w:pPr>
        <w:spacing w:after="120" w:line="288" w:lineRule="auto"/>
        <w:jc w:val="center"/>
        <w:rPr>
          <w:i w:val="1"/>
          <w:iCs w:val="1"/>
          <w:sz w:val="24"/>
          <w:szCs w:val="24"/>
        </w:rPr>
      </w:pPr>
      <w:r w:rsidDel="00000000" w:rsidR="00000000" w:rsidRPr="00000000">
        <w:rPr>
          <w:rtl w:val="0"/>
        </w:rPr>
      </w:r>
    </w:p>
    <w:p w:rsidR="00000000" w:rsidDel="00000000" w:rsidP="00000000" w:rsidRDefault="00000000" w:rsidRPr="00000000" w14:paraId="0000000F">
      <w:pPr>
        <w:spacing w:after="120" w:line="288" w:lineRule="auto"/>
        <w:jc w:val="center"/>
        <w:rPr>
          <w:b w:val="1"/>
          <w:bCs w:val="1"/>
          <w:sz w:val="24"/>
          <w:szCs w:val="24"/>
        </w:rPr>
      </w:pPr>
      <w:r w:rsidDel="00000000" w:rsidR="00000000" w:rsidRPr="00000000">
        <w:rPr>
          <w:b w:val="1"/>
          <w:bCs w:val="1"/>
          <w:sz w:val="24"/>
          <w:szCs w:val="24"/>
          <w:rtl w:val="0"/>
        </w:rPr>
        <w:t xml:space="preserve">Nguyễn Thanh Hải,</w:t>
      </w:r>
    </w:p>
    <w:p w:rsidR="00000000" w:rsidDel="00000000" w:rsidP="00000000" w:rsidRDefault="00000000" w:rsidRPr="00000000" w14:paraId="00000010">
      <w:pPr>
        <w:spacing w:after="120" w:line="288" w:lineRule="auto"/>
        <w:jc w:val="center"/>
        <w:rPr>
          <w:sz w:val="24"/>
          <w:szCs w:val="24"/>
        </w:rPr>
      </w:pPr>
      <w:r w:rsidDel="00000000" w:rsidR="00000000" w:rsidRPr="00000000">
        <w:rPr>
          <w:sz w:val="24"/>
          <w:szCs w:val="24"/>
          <w:rtl w:val="0"/>
        </w:rPr>
        <w:t xml:space="preserve">Sinh viên K62 CLC Tài chính quốc tế– Khoa QTKD &amp; TCKT</w:t>
      </w:r>
    </w:p>
    <w:p w:rsidR="00000000" w:rsidDel="00000000" w:rsidP="00000000" w:rsidRDefault="00000000" w:rsidRPr="00000000" w14:paraId="00000011">
      <w:pPr>
        <w:spacing w:after="120" w:line="288" w:lineRule="auto"/>
        <w:jc w:val="center"/>
        <w:rPr>
          <w:i w:val="1"/>
          <w:iCs w:val="1"/>
          <w:sz w:val="24"/>
          <w:szCs w:val="24"/>
        </w:rPr>
      </w:pPr>
      <w:r w:rsidDel="00000000" w:rsidR="00000000" w:rsidRPr="00000000">
        <w:rPr>
          <w:i w:val="1"/>
          <w:iCs w:val="1"/>
          <w:sz w:val="24"/>
          <w:szCs w:val="24"/>
          <w:rtl w:val="0"/>
        </w:rPr>
        <w:t xml:space="preserve">Phân hiệu Trường Đại học Ngoại thương, TP. Hồ Chí Minh , Việt Nam</w:t>
      </w:r>
    </w:p>
    <w:p w:rsidR="00000000" w:rsidDel="00000000" w:rsidP="00000000" w:rsidRDefault="00000000" w:rsidRPr="00000000" w14:paraId="00000012">
      <w:pPr>
        <w:spacing w:after="120" w:line="288" w:lineRule="auto"/>
        <w:jc w:val="center"/>
        <w:rPr>
          <w:i w:val="1"/>
          <w:iCs w:val="1"/>
          <w:sz w:val="24"/>
          <w:szCs w:val="24"/>
        </w:rPr>
      </w:pPr>
      <w:r w:rsidDel="00000000" w:rsidR="00000000" w:rsidRPr="00000000">
        <w:rPr>
          <w:rtl w:val="0"/>
        </w:rPr>
      </w:r>
    </w:p>
    <w:p w:rsidR="00000000" w:rsidDel="00000000" w:rsidP="00000000" w:rsidRDefault="00000000" w:rsidRPr="00000000" w14:paraId="00000013">
      <w:pPr>
        <w:spacing w:after="120" w:line="288" w:lineRule="auto"/>
        <w:jc w:val="center"/>
        <w:rPr>
          <w:b w:val="1"/>
          <w:bCs w:val="1"/>
          <w:sz w:val="24"/>
          <w:szCs w:val="24"/>
        </w:rPr>
      </w:pPr>
      <w:r w:rsidDel="00000000" w:rsidR="00000000" w:rsidRPr="00000000">
        <w:rPr>
          <w:b w:val="1"/>
          <w:bCs w:val="1"/>
          <w:sz w:val="24"/>
          <w:szCs w:val="24"/>
          <w:rtl w:val="0"/>
        </w:rPr>
        <w:t xml:space="preserve">Nguyễn Thị Kim Ngân,</w:t>
      </w:r>
    </w:p>
    <w:p w:rsidR="00000000" w:rsidDel="00000000" w:rsidP="00000000" w:rsidRDefault="00000000" w:rsidRPr="00000000" w14:paraId="00000014">
      <w:pPr>
        <w:spacing w:after="120" w:line="288" w:lineRule="auto"/>
        <w:jc w:val="center"/>
        <w:rPr>
          <w:sz w:val="24"/>
          <w:szCs w:val="24"/>
        </w:rPr>
      </w:pPr>
      <w:r w:rsidDel="00000000" w:rsidR="00000000" w:rsidRPr="00000000">
        <w:rPr>
          <w:sz w:val="24"/>
          <w:szCs w:val="24"/>
          <w:rtl w:val="0"/>
        </w:rPr>
        <w:t xml:space="preserve">Sinh viên K62 Quản trị kinh doanh– Khoa QTKD &amp; TCKT</w:t>
      </w:r>
    </w:p>
    <w:p w:rsidR="00000000" w:rsidDel="00000000" w:rsidP="00000000" w:rsidRDefault="00000000" w:rsidRPr="00000000" w14:paraId="00000015">
      <w:pPr>
        <w:spacing w:after="120" w:line="288" w:lineRule="auto"/>
        <w:jc w:val="center"/>
        <w:rPr>
          <w:i w:val="1"/>
          <w:iCs w:val="1"/>
          <w:sz w:val="24"/>
          <w:szCs w:val="24"/>
        </w:rPr>
      </w:pPr>
      <w:r w:rsidDel="00000000" w:rsidR="00000000" w:rsidRPr="00000000">
        <w:rPr>
          <w:i w:val="1"/>
          <w:iCs w:val="1"/>
          <w:sz w:val="24"/>
          <w:szCs w:val="24"/>
          <w:rtl w:val="0"/>
        </w:rPr>
        <w:t xml:space="preserve">Phân hiệu Trường Đại học Ngoại thương, TP. Hồ Chí Minh , Việt Nam</w:t>
      </w:r>
    </w:p>
    <w:p w:rsidR="00000000" w:rsidDel="00000000" w:rsidP="00000000" w:rsidRDefault="00000000" w:rsidRPr="00000000" w14:paraId="00000016">
      <w:pPr>
        <w:spacing w:after="120" w:line="288" w:lineRule="auto"/>
        <w:jc w:val="center"/>
        <w:rPr>
          <w:i w:val="1"/>
          <w:iCs w:val="1"/>
          <w:sz w:val="24"/>
          <w:szCs w:val="24"/>
        </w:rPr>
      </w:pPr>
      <w:r w:rsidDel="00000000" w:rsidR="00000000" w:rsidRPr="00000000">
        <w:rPr>
          <w:rtl w:val="0"/>
        </w:rPr>
      </w:r>
    </w:p>
    <w:p w:rsidR="00000000" w:rsidDel="00000000" w:rsidP="00000000" w:rsidRDefault="00000000" w:rsidRPr="00000000" w14:paraId="00000017">
      <w:pPr>
        <w:spacing w:after="120" w:line="288" w:lineRule="auto"/>
        <w:jc w:val="center"/>
        <w:rPr>
          <w:b w:val="1"/>
          <w:bCs w:val="1"/>
          <w:sz w:val="24"/>
          <w:szCs w:val="24"/>
        </w:rPr>
      </w:pPr>
      <w:r w:rsidDel="00000000" w:rsidR="00000000" w:rsidRPr="00000000">
        <w:rPr>
          <w:b w:val="1"/>
          <w:bCs w:val="1"/>
          <w:sz w:val="24"/>
          <w:szCs w:val="24"/>
          <w:rtl w:val="0"/>
        </w:rPr>
        <w:t xml:space="preserve">Nguyễn Ngọc Thuỵ Vy</w:t>
      </w:r>
    </w:p>
    <w:p w:rsidR="00000000" w:rsidDel="00000000" w:rsidP="00000000" w:rsidRDefault="00000000" w:rsidRPr="00000000" w14:paraId="00000018">
      <w:pPr>
        <w:spacing w:after="120" w:line="288" w:lineRule="auto"/>
        <w:jc w:val="center"/>
        <w:rPr>
          <w:sz w:val="24"/>
          <w:szCs w:val="24"/>
        </w:rPr>
      </w:pPr>
      <w:r w:rsidDel="00000000" w:rsidR="00000000" w:rsidRPr="00000000">
        <w:rPr>
          <w:sz w:val="24"/>
          <w:szCs w:val="24"/>
          <w:rtl w:val="0"/>
        </w:rPr>
        <w:t xml:space="preserve">Giảng viên Khoa QTKD &amp; TCKT</w:t>
      </w:r>
    </w:p>
    <w:p w:rsidR="00000000" w:rsidDel="00000000" w:rsidP="00000000" w:rsidRDefault="00000000" w:rsidRPr="00000000" w14:paraId="00000019">
      <w:pPr>
        <w:pBdr>
          <w:bottom w:color="000000" w:space="1" w:sz="4" w:val="single"/>
        </w:pBdr>
        <w:spacing w:after="120" w:line="288" w:lineRule="auto"/>
        <w:jc w:val="center"/>
        <w:rPr>
          <w:i w:val="1"/>
          <w:iCs w:val="1"/>
          <w:sz w:val="24"/>
          <w:szCs w:val="24"/>
        </w:rPr>
      </w:pPr>
      <w:r w:rsidDel="00000000" w:rsidR="00000000" w:rsidRPr="00000000">
        <w:rPr>
          <w:i w:val="1"/>
          <w:iCs w:val="1"/>
          <w:sz w:val="24"/>
          <w:szCs w:val="24"/>
          <w:rtl w:val="0"/>
        </w:rPr>
        <w:t xml:space="preserve">Phân hiệu Trường Đại học Ngoại thương, TP. Hồ Chí Minh , Việt Nam</w:t>
      </w:r>
    </w:p>
    <w:p w:rsidR="00000000" w:rsidDel="00000000" w:rsidP="00000000" w:rsidRDefault="00000000" w:rsidRPr="00000000" w14:paraId="0000001A">
      <w:pPr>
        <w:spacing w:after="120" w:line="288" w:lineRule="auto"/>
        <w:rPr>
          <w:b w:val="1"/>
          <w:bCs w:val="1"/>
          <w:sz w:val="24"/>
          <w:szCs w:val="24"/>
        </w:rPr>
      </w:pPr>
      <w:r w:rsidDel="00000000" w:rsidR="00000000" w:rsidRPr="00000000">
        <w:rPr>
          <w:b w:val="1"/>
          <w:bCs w:val="1"/>
          <w:sz w:val="24"/>
          <w:szCs w:val="24"/>
          <w:rtl w:val="0"/>
        </w:rPr>
        <w:t xml:space="preserve">Tóm tắt</w:t>
      </w:r>
    </w:p>
    <w:p w:rsidR="00000000" w:rsidDel="00000000" w:rsidP="00000000" w:rsidRDefault="00000000" w:rsidRPr="00000000" w14:paraId="0000001B">
      <w:pPr>
        <w:spacing w:after="120" w:line="288" w:lineRule="auto"/>
        <w:rPr>
          <w:sz w:val="24"/>
          <w:szCs w:val="24"/>
        </w:rPr>
      </w:pPr>
      <w:r w:rsidDel="00000000" w:rsidR="00000000" w:rsidRPr="00000000">
        <w:rPr>
          <w:sz w:val="24"/>
          <w:szCs w:val="24"/>
          <w:rtl w:val="0"/>
        </w:rPr>
        <w:t xml:space="preserve">Quản trị lợi nhuận vẫn là một vấn đề đáng quan ngại tại các thị trường mới nổi, nơi chất lượng báo cáo tài chính và cơ chế quản trị doanh nghiệp còn đang phát triển. Mặc dù các Mục tiêu Phát triển Bền vững (SDGs) ngày càng được quan tâm tại Việt Nam, bằng chứng thực nghiệm về mối quan hệ giữa công bố SDGs và quản trị lợi nhuận vẫn còn hạn chế do các nghiên cứu trước đây chủ yếu sử dụng các thước đo CSR hoặc ESG tổng quát. Sử dụng 3.021 quan sát theo năm của 488 công ty phi tài chính niêm yết trên Sở Giao dịch Chứng khoán Thành phố Hồ Chí Minh và Hà Nội trong giai đoạn 2015–2024, nghiên cứu này xem xét mối quan hệ giữa mức độ công bố SDGs và quản tr</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ị lợi nhuận dựa trên khoản dồn tích. Chỉ số công bố SDGs được xây dựng thông qua phân tích nội dung báo cáo thường niên của doanh nghiệp. Kết quả cho thấy công bố SDGs có mối quan hệ âm và có ý nghĩa thống kê với quản trị lợi nhuận dựa trên khoản dồn tích; trong khi khả năng sinh lợi và tình trạng thua lỗ có quan hệ cùng chiều, còn đòn bẩy tài chính có quan hệ ngược chiều với quản trị lợi nhuận. Kết quả nghiên cứu cung cấp bằng chứng thực nghiệm ở cấp độ doanh nghiệp tại Việt Nam về mối liên hệ giữa công bố SDGs và hành vi quản trị lợi nhuận.</w:t>
      </w:r>
    </w:p>
    <w:p w:rsidR="00000000" w:rsidDel="00000000" w:rsidP="00000000" w:rsidRDefault="00000000" w:rsidRPr="00000000" w14:paraId="0000001C">
      <w:pPr>
        <w:spacing w:after="120" w:line="288" w:lineRule="auto"/>
        <w:rPr>
          <w:sz w:val="26"/>
          <w:szCs w:val="26"/>
        </w:rPr>
      </w:pPr>
      <w:r w:rsidDel="00000000" w:rsidR="00000000" w:rsidRPr="00000000">
        <w:rPr>
          <w:b w:val="1"/>
          <w:bCs w:val="1"/>
          <w:sz w:val="26"/>
          <w:szCs w:val="26"/>
          <w:rtl w:val="0"/>
        </w:rPr>
        <w:t xml:space="preserve">Từ khóa: </w:t>
      </w:r>
      <w:r w:rsidDel="00000000" w:rsidR="00000000" w:rsidRPr="00000000">
        <w:rPr>
          <w:sz w:val="26"/>
          <w:szCs w:val="26"/>
          <w:rtl w:val="0"/>
        </w:rPr>
        <w:t xml:space="preserve">công bố SDGs; quản trị lợi nhuận; thị trường mới nổi.</w:t>
      </w:r>
    </w:p>
    <w:p w:rsidR="00000000" w:rsidDel="00000000" w:rsidP="00000000" w:rsidRDefault="00000000" w:rsidRPr="00000000" w14:paraId="0000001D">
      <w:pPr>
        <w:spacing w:after="120" w:line="288" w:lineRule="auto"/>
        <w:rPr>
          <w:sz w:val="26"/>
          <w:szCs w:val="26"/>
        </w:rPr>
      </w:pPr>
      <w:r w:rsidDel="00000000" w:rsidR="00000000" w:rsidRPr="00000000">
        <w:rPr>
          <w:rtl w:val="0"/>
        </w:rPr>
      </w:r>
    </w:p>
    <w:p w:rsidR="00000000" w:rsidDel="00000000" w:rsidP="00000000" w:rsidRDefault="00000000" w:rsidRPr="00000000" w14:paraId="0000001E">
      <w:pPr>
        <w:pStyle w:val="Heading1"/>
        <w:spacing w:after="120" w:line="288" w:lineRule="auto"/>
        <w:jc w:val="center"/>
        <w:rPr>
          <w:sz w:val="24"/>
          <w:szCs w:val="24"/>
        </w:rPr>
      </w:pPr>
      <w:r w:rsidDel="00000000" w:rsidR="00000000" w:rsidRPr="00000000">
        <w:rPr>
          <w:sz w:val="24"/>
          <w:szCs w:val="24"/>
          <w:rtl w:val="0"/>
        </w:rPr>
        <w:t xml:space="preserve">THE IMPACT OF SUSTAINABLE DEVELOPMENT GOALS DISCLOSURE ON EARNINGS MANAGEMENT: EVIDENCE FROM VIETNAMESE LISTED FIRMS</w:t>
      </w:r>
    </w:p>
    <w:p w:rsidR="00000000" w:rsidDel="00000000" w:rsidP="00000000" w:rsidRDefault="00000000" w:rsidRPr="00000000" w14:paraId="0000001F">
      <w:pPr>
        <w:spacing w:after="120" w:line="288" w:lineRule="auto"/>
        <w:rPr/>
      </w:pPr>
      <w:r w:rsidDel="00000000" w:rsidR="00000000" w:rsidRPr="00000000">
        <w:rPr>
          <w:rtl w:val="0"/>
        </w:rPr>
      </w:r>
    </w:p>
    <w:p w:rsidR="00000000" w:rsidDel="00000000" w:rsidP="00000000" w:rsidRDefault="00000000" w:rsidRPr="00000000" w14:paraId="00000020">
      <w:pPr>
        <w:spacing w:after="120" w:line="288" w:lineRule="auto"/>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21">
      <w:pPr>
        <w:pStyle w:val="Heading1"/>
        <w:spacing w:after="120" w:line="288" w:lineRule="auto"/>
        <w:rPr>
          <w:b w:val="0"/>
          <w:bCs w:val="0"/>
          <w:sz w:val="24"/>
          <w:szCs w:val="24"/>
        </w:rPr>
      </w:pPr>
      <w:r w:rsidDel="00000000" w:rsidR="00000000" w:rsidRPr="00000000">
        <w:rPr>
          <w:b w:val="0"/>
          <w:bCs w:val="0"/>
          <w:sz w:val="24"/>
          <w:szCs w:val="24"/>
          <w:rtl w:val="0"/>
        </w:rPr>
        <w:t xml:space="preserve">Earnings management remains a persistent concern in emerging markets, where financial reporting quality and corporate governance are still developing. Despite growing attention to Sustainable Development Goals (SDGs) in Vietnam, evidence on the relationship between SDG disclosure and earnings management remains limited, as prior studies primarily rely on broad CSR or ESG measures rather than SDG-specific disclosure. Using 3,021 firm-year observations from 488 non-financial firms listed on the Ho Chi Minh Stock Exchange and the Hanoi Stock Exchange during 2015–2024, this study examines the association between SDG disclosure and accrual-based earnings management. SDG disclosure score is constructed using a textual analysis of firms’ annual reports. The results show that SDG disclosure is negatively and significantly associated with accrual-based earnings management. Profitability and loss status are positively related to earnings management, while financial leverage is negatively associated. Overall, the findings provide firm-level evidence from Vietnam on the association between SDG disclosure and earnings management behavior. </w:t>
      </w:r>
    </w:p>
    <w:p w:rsidR="00000000" w:rsidDel="00000000" w:rsidP="00000000" w:rsidRDefault="00000000" w:rsidRPr="00000000" w14:paraId="00000022">
      <w:pPr>
        <w:pBdr>
          <w:bottom w:color="000000" w:space="1" w:sz="4" w:val="single"/>
        </w:pBdr>
        <w:spacing w:after="120" w:line="288" w:lineRule="auto"/>
        <w:rPr>
          <w:sz w:val="24"/>
          <w:szCs w:val="24"/>
        </w:rPr>
      </w:pPr>
      <w:bookmarkStart w:colFirst="0" w:colLast="0" w:name="_heading=h.gjxlh3wwm35" w:id="0"/>
      <w:bookmarkEnd w:id="0"/>
      <w:r w:rsidDel="00000000" w:rsidR="00000000" w:rsidRPr="00000000">
        <w:rPr>
          <w:b w:val="1"/>
          <w:bCs w:val="1"/>
          <w:sz w:val="24"/>
          <w:szCs w:val="24"/>
          <w:rtl w:val="0"/>
        </w:rPr>
        <w:t xml:space="preserve">Keywords:</w:t>
      </w:r>
      <w:r w:rsidDel="00000000" w:rsidR="00000000" w:rsidRPr="00000000">
        <w:rPr>
          <w:sz w:val="24"/>
          <w:szCs w:val="24"/>
          <w:rtl w:val="0"/>
        </w:rPr>
        <w:t xml:space="preserve"> SDG disclosure; earnings management, emerging markets.</w:t>
      </w:r>
    </w:p>
    <w:p w:rsidR="00000000" w:rsidDel="00000000" w:rsidP="00000000" w:rsidRDefault="00000000" w:rsidRPr="00000000" w14:paraId="00000023">
      <w:pPr>
        <w:spacing w:after="120" w:line="288" w:lineRule="auto"/>
        <w:rPr>
          <w:b w:val="1"/>
          <w:bCs w:val="1"/>
          <w:sz w:val="24"/>
          <w:szCs w:val="24"/>
        </w:rPr>
      </w:pPr>
      <w:r w:rsidDel="00000000" w:rsidR="00000000" w:rsidRPr="00000000">
        <w:rPr>
          <w:b w:val="1"/>
          <w:bCs w:val="1"/>
          <w:sz w:val="24"/>
          <w:szCs w:val="24"/>
          <w:rtl w:val="0"/>
        </w:rPr>
        <w:t xml:space="preserve">1. Introduction</w:t>
      </w:r>
    </w:p>
    <w:p w:rsidR="00000000" w:rsidDel="00000000" w:rsidP="00000000" w:rsidRDefault="00000000" w:rsidRPr="00000000" w14:paraId="00000024">
      <w:pPr>
        <w:spacing w:after="120" w:line="288" w:lineRule="auto"/>
        <w:ind w:firstLine="426"/>
        <w:rPr>
          <w:sz w:val="24"/>
          <w:szCs w:val="24"/>
        </w:rPr>
      </w:pPr>
      <w:r w:rsidDel="00000000" w:rsidR="00000000" w:rsidRPr="00000000">
        <w:rPr>
          <w:sz w:val="24"/>
          <w:szCs w:val="24"/>
          <w:rtl w:val="0"/>
        </w:rPr>
        <w:t xml:space="preserve">Earnings management is a central issue in accounting research and practice (Dechow et al., 2011). It refers to managers' discretionary use of judgment in financial reporting to influence reported earnings in ways that may not fully reflect the firm’s underlying economic performance and that serve managerial objectives (Ronen &amp; Varda Yaari, 2008). Such behavior can be implemented through different channels. First, managers may alter real business decisions such as timing or scale of operating activities to affect reported performance, commonly labelled real earnings management. Second, earnings can be managed through accounting choices, including the recognition, classification, and estimation of accruals, which changes reported income without necessarily changing cash flows (Grimaldi et al., 2020). When these interventions are opportunistic, accounting earnings become less informative about fundamentals, reducing the decision usefulness of financial statements for investors, creditors, and regulators. At the macro level, distorted reporting can contribute to inefficient resource allocation because capital markets may rely on biased information when pricing securities and directing funds (Healy &amp; Wahlen, 1999). Consequently, identifying factors that shape earnings management remains an important research agenda in accounting and business management.</w:t>
      </w:r>
    </w:p>
    <w:p w:rsidR="00000000" w:rsidDel="00000000" w:rsidP="00000000" w:rsidRDefault="00000000" w:rsidRPr="00000000" w14:paraId="00000025">
      <w:pPr>
        <w:spacing w:after="120" w:line="288" w:lineRule="auto"/>
        <w:ind w:firstLine="426"/>
        <w:rPr>
          <w:sz w:val="24"/>
          <w:szCs w:val="24"/>
        </w:rPr>
      </w:pPr>
      <w:r w:rsidDel="00000000" w:rsidR="00000000" w:rsidRPr="00000000">
        <w:rPr>
          <w:sz w:val="24"/>
          <w:szCs w:val="24"/>
          <w:rtl w:val="0"/>
        </w:rPr>
        <w:t xml:space="preserve">The Sustainable Development Goals (SDGs), introduced by the United Nations in 2015, comprise 17 goals and 169 targets and represent a comprehensive framework for addressing global social and environmental challenges (United Nations, 2015; Delgado-Ceballos et al., 2022). However, the SDGs were largely designed for implementation at the societal and national levels, which has created ambiguity about firms’ responsibilities. Many companies may view governments as the primary actors in achieving the 2030 Agenda (Delgado-Ceballos et al., 2022). This perspective is incomplete because firms both contribute to and can mitigate social and environmental externalities generated by their operations, making corporate participation essential (Montiel et al., 2021). Reflecting this shift, SDGs have accelerated scholarly and managerial attention to how businesses pursue sustainability, alongside the emergence of related concepts and analytical frameworks (Antolín-López et al., 2016). Within this stream, business sustainability emphasizes embedding sustainability into core strategies and operational processes, rather than treating it as peripheral or purely symbolic initiatives (Bansal, 2005).</w:t>
      </w:r>
    </w:p>
    <w:p w:rsidR="00000000" w:rsidDel="00000000" w:rsidP="00000000" w:rsidRDefault="00000000" w:rsidRPr="00000000" w14:paraId="00000026">
      <w:pPr>
        <w:spacing w:after="120" w:line="288" w:lineRule="auto"/>
        <w:ind w:firstLine="426"/>
        <w:rPr>
          <w:sz w:val="24"/>
          <w:szCs w:val="24"/>
        </w:rPr>
      </w:pPr>
      <w:r w:rsidDel="00000000" w:rsidR="00000000" w:rsidRPr="00000000">
        <w:rPr>
          <w:sz w:val="24"/>
          <w:szCs w:val="24"/>
          <w:rtl w:val="0"/>
        </w:rPr>
        <w:t xml:space="preserve">The driving forces behind this trend clearly stems from the financial markets. Specifically, ESG factors are increasingly viewed as material information, traditionally used to refer to factors that can affect financial performance and therefore impact investment decisions (Jebe, 2019). As ESG is recognized as having the potential to affect profits, the demand for ESG data increases, leading to pressure for transparency and accountability from businesses (van Zanten &amp; Huij, 2022). Meanwhile, stakeholders and regulators have warned that a purely financial materiality approach is insufficient and should be complemented with a perspective on social and environmental impacts to advance global sustainability (European Commission, 2019). Given the increasingly high public expectations, the level of commitment to the SDGs has become a crucial factor in helping businesses maintain legitimacy and social acceptance (Muserra et al., 2019). However, the extent and manner of corporate participation are not uniform. In some cases, the SDGs may be pursued in a symbolic manner to bolster reputation and legitimacy rather than to generate substantive social change (Howard-Grenville et al., 2019).</w:t>
      </w:r>
    </w:p>
    <w:p w:rsidR="00000000" w:rsidDel="00000000" w:rsidP="00000000" w:rsidRDefault="00000000" w:rsidRPr="00000000" w14:paraId="00000027">
      <w:pPr>
        <w:spacing w:after="120" w:line="288" w:lineRule="auto"/>
        <w:ind w:firstLine="426"/>
        <w:rPr>
          <w:sz w:val="24"/>
          <w:szCs w:val="24"/>
        </w:rPr>
      </w:pPr>
      <w:r w:rsidDel="00000000" w:rsidR="00000000" w:rsidRPr="00000000">
        <w:rPr>
          <w:sz w:val="24"/>
          <w:szCs w:val="24"/>
          <w:rtl w:val="0"/>
        </w:rPr>
        <w:t xml:space="preserve">Theoretically, the relationship between Sustainable Development Goals and earnings management can be interpreted through several mechanisms. From a stakeholder and legitimacy perspective, businesses can enhance SDGs disclosure to strengthen legitimacy and trust, thereby reducing the incentive for manipulation and improving reporting discipline (Deegan, 2002). Conversely, according to agency theory or opportunism in management, managers may use CSR disclosure to mask unethical behavior (Ali et al., 2024), making sustainability disclosure a “cover” while the quality of earnings does not improve proportionally. Because these mechanisms coexist, previous empirical evidence often shows inconsistent results, some studies report a negative impact on earnings per share, some show a negative impact, and in some cases, no statistically significant results are found.</w:t>
      </w:r>
    </w:p>
    <w:p w:rsidR="00000000" w:rsidDel="00000000" w:rsidP="00000000" w:rsidRDefault="00000000" w:rsidRPr="00000000" w14:paraId="00000028">
      <w:pPr>
        <w:spacing w:after="120" w:line="288" w:lineRule="auto"/>
        <w:ind w:firstLine="426"/>
        <w:rPr>
          <w:sz w:val="24"/>
          <w:szCs w:val="24"/>
        </w:rPr>
      </w:pPr>
      <w:r w:rsidDel="00000000" w:rsidR="00000000" w:rsidRPr="00000000">
        <w:rPr>
          <w:sz w:val="24"/>
          <w:szCs w:val="24"/>
          <w:rtl w:val="0"/>
        </w:rPr>
        <w:t xml:space="preserve">Our study focuses on examining the relationship between SDGs disclosure and earnings management in the Vietnamese context. Vietnam is one of the rapidly growing emerging markets, but it is also noted to have a relatively low ranking in corporate governance in Southeast Asia (Hoa et al., 2023). Furthermore, Nguyen et al. (2022) also demonstrated that listed companies in Vietnam tend to record higher earnings through the strong recognition of discretionary accruals before and during the years of share issuance. A study by (Tran &amp; Duong, 2020) showed that approximately 4.88% - 13.76% of the 2950 firms-years engaged in earnings management to avoid reporting losses in their financial statements. Furthermore, according to a study by Nguyen et al. (2023), up to 74.6% of listed companies on the Vietnamese stock market managed earnings through accounting accruals or manipulation of actual operations. In addition, Vietnam demonstrates increasing integration and development orientation towards global sustainable development programs; recent assessments show that Vietnam has made significant progress towards the SDGs and is among the top 25% of emerging economies in SDG performance across most indicators, while the Government demonstrates its determination to implement Agenda 2030 (Anja, 2020). The SDGs have also been relatively clearly integrated into development plans and economic plans, thereby increasing expectations for transparency and accountability at the corporate level. However, implementation at the corporate level still faces many challenges due to the lack of consistent reporting mechanisms and the lack of specific strategies to integrate SDGs into business goals and operations (Helfaya and Bui, 2022).</w:t>
      </w:r>
    </w:p>
    <w:p w:rsidR="00000000" w:rsidDel="00000000" w:rsidP="00000000" w:rsidRDefault="00000000" w:rsidRPr="00000000" w14:paraId="00000029">
      <w:pPr>
        <w:spacing w:after="120" w:line="288" w:lineRule="auto"/>
        <w:ind w:firstLine="426"/>
        <w:rPr>
          <w:sz w:val="24"/>
          <w:szCs w:val="24"/>
        </w:rPr>
      </w:pPr>
      <w:r w:rsidDel="00000000" w:rsidR="00000000" w:rsidRPr="00000000">
        <w:rPr>
          <w:sz w:val="24"/>
          <w:szCs w:val="24"/>
          <w:rtl w:val="0"/>
        </w:rPr>
        <w:t xml:space="preserve">Much of previous research measures sustainable practices and disclosures through composite measures such as corporate social responsibility or ESG scores, while SDG disclosure as a separate component has not been fully considered. Stemming from that gap, this study was conducted to determine the impact of SDG reporting, measured by a measurement method which is developed by the research team, on the level of earnings management of listed companies in Vietnam.</w:t>
      </w:r>
    </w:p>
    <w:p w:rsidR="00000000" w:rsidDel="00000000" w:rsidP="00000000" w:rsidRDefault="00000000" w:rsidRPr="00000000" w14:paraId="0000002A">
      <w:pPr>
        <w:pStyle w:val="Heading1"/>
        <w:spacing w:after="120" w:line="288" w:lineRule="auto"/>
        <w:rPr>
          <w:sz w:val="24"/>
          <w:szCs w:val="24"/>
        </w:rPr>
      </w:pPr>
      <w:bookmarkStart w:colFirst="0" w:colLast="0" w:name="_heading=h.kekjh1v7esnp" w:id="1"/>
      <w:bookmarkEnd w:id="1"/>
      <w:r w:rsidDel="00000000" w:rsidR="00000000" w:rsidRPr="00000000">
        <w:rPr>
          <w:sz w:val="24"/>
          <w:szCs w:val="24"/>
          <w:rtl w:val="0"/>
        </w:rPr>
        <w:t xml:space="preserve">2. Literature review and hypothesis development</w:t>
      </w:r>
    </w:p>
    <w:p w:rsidR="00000000" w:rsidDel="00000000" w:rsidP="00000000" w:rsidRDefault="00000000" w:rsidRPr="00000000" w14:paraId="0000002B">
      <w:pPr>
        <w:pStyle w:val="Heading2"/>
        <w:spacing w:after="120" w:line="288" w:lineRule="auto"/>
        <w:rPr>
          <w:sz w:val="24"/>
          <w:szCs w:val="24"/>
        </w:rPr>
      </w:pPr>
      <w:bookmarkStart w:colFirst="0" w:colLast="0" w:name="_heading=h.8922m79e3h28" w:id="2"/>
      <w:bookmarkEnd w:id="2"/>
      <w:r w:rsidDel="00000000" w:rsidR="00000000" w:rsidRPr="00000000">
        <w:rPr>
          <w:sz w:val="24"/>
          <w:szCs w:val="24"/>
          <w:rtl w:val="0"/>
        </w:rPr>
        <w:t xml:space="preserve">2.1. Literature review </w:t>
      </w:r>
    </w:p>
    <w:p w:rsidR="00000000" w:rsidDel="00000000" w:rsidP="00000000" w:rsidRDefault="00000000" w:rsidRPr="00000000" w14:paraId="0000002C">
      <w:pPr>
        <w:pStyle w:val="Heading2"/>
        <w:spacing w:after="120" w:line="288" w:lineRule="auto"/>
        <w:rPr>
          <w:b w:val="0"/>
          <w:bCs w:val="0"/>
          <w:sz w:val="24"/>
          <w:szCs w:val="24"/>
        </w:rPr>
      </w:pPr>
      <w:bookmarkStart w:colFirst="0" w:colLast="0" w:name="_heading=h.pw726meiqlkv" w:id="3"/>
      <w:bookmarkEnd w:id="3"/>
      <w:r w:rsidDel="00000000" w:rsidR="00000000" w:rsidRPr="00000000">
        <w:rPr>
          <w:b w:val="0"/>
          <w:bCs w:val="0"/>
          <w:sz w:val="24"/>
          <w:szCs w:val="24"/>
          <w:rtl w:val="0"/>
        </w:rPr>
        <w:t xml:space="preserve">2.1.1. Sustainable Development Goals </w:t>
      </w:r>
    </w:p>
    <w:p w:rsidR="00000000" w:rsidDel="00000000" w:rsidP="00000000" w:rsidRDefault="00000000" w:rsidRPr="00000000" w14:paraId="0000002D">
      <w:pPr>
        <w:spacing w:after="120" w:line="288" w:lineRule="auto"/>
        <w:ind w:firstLine="426"/>
        <w:rPr>
          <w:sz w:val="24"/>
          <w:szCs w:val="24"/>
        </w:rPr>
      </w:pPr>
      <w:r w:rsidDel="00000000" w:rsidR="00000000" w:rsidRPr="00000000">
        <w:rPr>
          <w:sz w:val="24"/>
          <w:szCs w:val="24"/>
          <w:rtl w:val="0"/>
        </w:rPr>
        <w:t xml:space="preserve">Sustainable development is defined as development that meets the needs of the present generation without compromising the ability of future generations to meet their own needs (Muhmad &amp; Muhamad, 2021). Based on this concept, in 2015, the United Nations declared 17 Sustainable Development Goals (SDGs) as the focus of the 2030 Agenda, along with 169 specific targets, to address challenges such as poverty eradication, inequality reduction, climate change adaptation, and the promotion of peace and economic prosperity. In this context, SDG disclosure is understood as the public disclosure of information about the economic, environmental, and social impacts of organizations, thereby demonstrating the extent of their positive or negative contribution to the achievement of the SDGs (Sekarlangit &amp; Wardhani, 2021).</w:t>
      </w:r>
    </w:p>
    <w:p w:rsidR="00000000" w:rsidDel="00000000" w:rsidP="00000000" w:rsidRDefault="00000000" w:rsidRPr="00000000" w14:paraId="0000002E">
      <w:pPr>
        <w:spacing w:after="120" w:line="288" w:lineRule="auto"/>
        <w:ind w:firstLine="426"/>
        <w:rPr>
          <w:sz w:val="24"/>
          <w:szCs w:val="24"/>
        </w:rPr>
      </w:pPr>
      <w:r w:rsidDel="00000000" w:rsidR="00000000" w:rsidRPr="00000000">
        <w:rPr>
          <w:sz w:val="24"/>
          <w:szCs w:val="24"/>
          <w:rtl w:val="0"/>
        </w:rPr>
        <w:t xml:space="preserve">From this approach, measuring SDG disclosure requires methods capable of fully reflecting the content and depth of the information disclosed; therefore, content analysis is considered the most common and appropriate method for assessing the level of SDG disclosure (Ramos et al., 2022; Saha et al., 2024; Nicolò et al., 2024). Measuring the level of SDG disclosure by businesses is primarily based on data from public reports such as annual reports, sustainability reports, and non-financial reports, combined with content analysis according to the United Nations' 17 SDGs system (Ramos et al., 2022; Saha et al., 2024). Many studies use keywords as the unit of analysis, allowing for assessment by individual SDG goals and facilitating computer-aided content analysis techniques (Lawati &amp; Hussainey, 2022). Several other approaches are based on the UN Global Compact CoP report or the GRI standard (Nicolò et al., 2023; Nicolò et al., 2024). Based on the content analyzed, studies often construct SDG disclosure indices in the form of an unweighted disclosure index, where each SDG is assigned a value of 1 if disclosed and 0 if not, thereby creating a standardized index in the range of 0 to 1, ensuring objectivity and comparability between businesses (Lawati &amp; Hussainey, 2022; Saha et al., 2024).</w:t>
      </w:r>
    </w:p>
    <w:p w:rsidR="00000000" w:rsidDel="00000000" w:rsidP="00000000" w:rsidRDefault="00000000" w:rsidRPr="00000000" w14:paraId="0000002F">
      <w:pPr>
        <w:spacing w:after="120" w:line="288" w:lineRule="auto"/>
        <w:ind w:firstLine="426"/>
        <w:rPr>
          <w:sz w:val="24"/>
          <w:szCs w:val="24"/>
        </w:rPr>
      </w:pPr>
      <w:r w:rsidDel="00000000" w:rsidR="00000000" w:rsidRPr="00000000">
        <w:rPr>
          <w:sz w:val="24"/>
          <w:szCs w:val="24"/>
          <w:rtl w:val="0"/>
        </w:rPr>
        <w:t xml:space="preserve">From the above approaches to measuring the level of SDG disclosure, many empirical studies have shown that the disclosure and implementation of SDGs are playing an increasingly important role for businesses. In the context of increasing pressure from stakeholders, the publication of the SDGs is seen as a strategic tool to enhance transparency, strengthen market confidence, limit "greenwashing," and support stakeholder engagement, identifying key issues to improve governance and ESG risk management (Lawati &amp; Hussainey, 2022; Zampone &amp; Guidi, 2024). Furthermore, achieving sustainable business goals can improve environmental quality, social welfare, enhance organizational reputation, and increase business profitability (Yang &amp; Liu, 2022). However, other studies suggest that implementing environmental and social activities requires businesses to allocate resources outside of core operations, which can impair financial performance, especially in the short term (Khan et al., 2022; Saha et al., 2024; Di Tommaso &amp; Thornton, 2020).</w:t>
      </w:r>
    </w:p>
    <w:p w:rsidR="00000000" w:rsidDel="00000000" w:rsidP="00000000" w:rsidRDefault="00000000" w:rsidRPr="00000000" w14:paraId="00000030">
      <w:pPr>
        <w:pStyle w:val="Heading2"/>
        <w:spacing w:after="120" w:line="288" w:lineRule="auto"/>
        <w:rPr>
          <w:b w:val="0"/>
          <w:bCs w:val="0"/>
          <w:sz w:val="24"/>
          <w:szCs w:val="24"/>
        </w:rPr>
      </w:pPr>
      <w:bookmarkStart w:colFirst="0" w:colLast="0" w:name="_heading=h.smitr5ly572" w:id="4"/>
      <w:bookmarkEnd w:id="4"/>
      <w:r w:rsidDel="00000000" w:rsidR="00000000" w:rsidRPr="00000000">
        <w:rPr>
          <w:b w:val="0"/>
          <w:bCs w:val="0"/>
          <w:sz w:val="24"/>
          <w:szCs w:val="24"/>
          <w:rtl w:val="0"/>
        </w:rPr>
        <w:t xml:space="preserve">2.1.2. Earnings Management</w:t>
      </w:r>
    </w:p>
    <w:p w:rsidR="00000000" w:rsidDel="00000000" w:rsidP="00000000" w:rsidRDefault="00000000" w:rsidRPr="00000000" w14:paraId="00000031">
      <w:pPr>
        <w:spacing w:after="120" w:line="288" w:lineRule="auto"/>
        <w:ind w:firstLine="426"/>
        <w:rPr>
          <w:sz w:val="24"/>
          <w:szCs w:val="24"/>
        </w:rPr>
      </w:pPr>
      <w:r w:rsidDel="00000000" w:rsidR="00000000" w:rsidRPr="00000000">
        <w:rPr>
          <w:sz w:val="24"/>
          <w:szCs w:val="24"/>
          <w:rtl w:val="0"/>
        </w:rPr>
        <w:t xml:space="preserve">Earnings management refers to managerial discretion in financial reporting intended to influence reported earnings and potentially mislead stakeholders regarding a firm’s economic performance (Schipper, 1989; Healy &amp; Wahlen, 1999; Klein, 2002). Prior research shows that managers engage in earnings management to meet key earnings benchmarks, such as avoiding losses, earnings declines, or failing to meet analysts’ forecasts (Degeorge et al., 1999), as well as to advance personal interests related to compensation and equity incentives (Cheng &amp; Warfield, 2005). Among these benchmarks, reporting non-negative earnings is particularly important, as losses are commonly viewed as signals of poor performance or weak governance. Incentives to manage earnings are further intensified around corporate events such as equity offerings and share repurchases, when reported earnings affect firm valuation (Teoh et al., 1998; Gong et al., 2008).</w:t>
      </w:r>
    </w:p>
    <w:p w:rsidR="00000000" w:rsidDel="00000000" w:rsidP="00000000" w:rsidRDefault="00000000" w:rsidRPr="00000000" w14:paraId="00000032">
      <w:pPr>
        <w:spacing w:after="120" w:line="288" w:lineRule="auto"/>
        <w:ind w:firstLine="426"/>
        <w:rPr>
          <w:sz w:val="24"/>
          <w:szCs w:val="24"/>
        </w:rPr>
      </w:pPr>
      <w:r w:rsidDel="00000000" w:rsidR="00000000" w:rsidRPr="00000000">
        <w:rPr>
          <w:sz w:val="24"/>
          <w:szCs w:val="24"/>
          <w:rtl w:val="0"/>
        </w:rPr>
        <w:t xml:space="preserve">Agency theory provides a fundamental explanation for managers’ incentives to engage in earnings management. Jensen and Meckling (1976) argue that the separation of ownership and control gives rise to agency costs due to conflicts of interest between principals and agents, exacerbated by information asymmetry and imperfect monitoring. Because accounting earnings are central to managerial compensation contracts, debt covenants, and external performance evaluations, managers may exploit accounting discretion to manipulate reported earnings in ways that maximize private benefits or reduce contractual and career-related risks. Earnings management can therefore be interpreted as a manifestation of agency costs, reflecting managers’ opportunistic behavior in response to misaligned incentives and weak governance mechanisms. This theoretical perspective has been widely adopted in subsequent empirical studies that view discretionary accounting choices as rational outcomes of agency conflicts rather than purely technical reporting decisions (Jensen &amp; Meckling, 1976).</w:t>
      </w:r>
    </w:p>
    <w:p w:rsidR="00000000" w:rsidDel="00000000" w:rsidP="00000000" w:rsidRDefault="00000000" w:rsidRPr="00000000" w14:paraId="00000033">
      <w:pPr>
        <w:spacing w:after="120" w:line="288" w:lineRule="auto"/>
        <w:ind w:firstLine="426"/>
        <w:rPr>
          <w:sz w:val="24"/>
          <w:szCs w:val="24"/>
        </w:rPr>
      </w:pPr>
      <w:r w:rsidDel="00000000" w:rsidR="00000000" w:rsidRPr="00000000">
        <w:rPr>
          <w:sz w:val="24"/>
          <w:szCs w:val="24"/>
          <w:rtl w:val="0"/>
        </w:rPr>
        <w:t xml:space="preserve">Earnings management is commonly classified into accrual-based earnings management (AEM) and real earnings management (REM). AEM involves the discretionary use of accounting estimates and choices such as revenue recognition timing, expense capitalization, depreciation methods, and provisioning (Richardson et al., 2005). In contrast, REM entails deviations from optimal operating decisions, including sales acceleration, reductions in discretionary expenditures, and overproduction, which affect both earnings and cash flows and may impair long-term firm value (Dechow &amp; Skinner, 2000; Roychowdhury, 2006). Prior studies argue between the preference of AEM and REM in certain circumstances. In this study, we focus on the relationship between SDG and AEM.</w:t>
      </w:r>
    </w:p>
    <w:p w:rsidR="00000000" w:rsidDel="00000000" w:rsidP="00000000" w:rsidRDefault="00000000" w:rsidRPr="00000000" w14:paraId="00000034">
      <w:pPr>
        <w:pStyle w:val="Heading2"/>
        <w:spacing w:after="120" w:line="288" w:lineRule="auto"/>
        <w:rPr>
          <w:b w:val="0"/>
          <w:bCs w:val="0"/>
          <w:sz w:val="24"/>
          <w:szCs w:val="24"/>
        </w:rPr>
      </w:pPr>
      <w:bookmarkStart w:colFirst="0" w:colLast="0" w:name="_heading=h.kwl135lfmp5p" w:id="5"/>
      <w:bookmarkEnd w:id="5"/>
      <w:r w:rsidDel="00000000" w:rsidR="00000000" w:rsidRPr="00000000">
        <w:rPr>
          <w:b w:val="0"/>
          <w:bCs w:val="0"/>
          <w:sz w:val="24"/>
          <w:szCs w:val="24"/>
          <w:rtl w:val="0"/>
        </w:rPr>
        <w:t xml:space="preserve">2.1.3. The impact of Sustainable Development Goals on earnings management</w:t>
      </w:r>
    </w:p>
    <w:p w:rsidR="00000000" w:rsidDel="00000000" w:rsidP="00000000" w:rsidRDefault="00000000" w:rsidRPr="00000000" w14:paraId="00000035">
      <w:pPr>
        <w:spacing w:after="120" w:line="288" w:lineRule="auto"/>
        <w:ind w:firstLine="426"/>
        <w:rPr>
          <w:sz w:val="24"/>
          <w:szCs w:val="24"/>
        </w:rPr>
      </w:pPr>
      <w:r w:rsidDel="00000000" w:rsidR="00000000" w:rsidRPr="00000000">
        <w:rPr>
          <w:sz w:val="24"/>
          <w:szCs w:val="24"/>
          <w:rtl w:val="0"/>
        </w:rPr>
        <w:t xml:space="preserve">Stakeholder theory, legitimacy theory, and agency theory are used to explain the relationship between the level of SDG disclosure and accrual earnings management behavior (Grimaldi et al., 2020). From a stakeholder perspective, firms aiming for long-term profitability and competitive advantage must consider a broad set of stakeholder interests, not only shareholders (Freeman, 1984). When stakeholders view a firm’s operations as unsustainable, they intensify demands for standards and accountability, increasing external scrutiny (Davis, 1973). As a result, firms have stronger incentives to curb inappropriate behaviors and align more with sustainability-oriented actions. In this setting, sustainability reporting functions as a transparency mechanism that signals commitment to stakeholders (Freeman, 1984) and heightens the likelihood of monitoring by stakeholders and regulators, thereby increasing potential detection and reputational costs associated with earnings management (Grimaldi et al., 2020)</w:t>
      </w:r>
    </w:p>
    <w:p w:rsidR="00000000" w:rsidDel="00000000" w:rsidP="00000000" w:rsidRDefault="00000000" w:rsidRPr="00000000" w14:paraId="00000036">
      <w:pPr>
        <w:spacing w:after="120" w:line="288" w:lineRule="auto"/>
        <w:ind w:firstLine="426"/>
        <w:rPr>
          <w:sz w:val="24"/>
          <w:szCs w:val="24"/>
        </w:rPr>
      </w:pPr>
      <w:r w:rsidDel="00000000" w:rsidR="00000000" w:rsidRPr="00000000">
        <w:rPr>
          <w:sz w:val="24"/>
          <w:szCs w:val="24"/>
          <w:rtl w:val="0"/>
        </w:rPr>
        <w:t xml:space="preserve">Beyond stakeholder pressure, legitimacy theory posits that businesses exist based on an implicit “social contract”, in which their activities and objectives need to be perceived by society as conforming to common values ​​and norms; otherwise, societal acceptance of the business’s right to exist may decline (Dowling &amp; Pfeffer, 1975). Because legitimacy depends on how society perceives the business, management is motivated to disclose information that can shape external perceptions, especially sustainable information (Githaiga, 2023). Disclosure of sustainable information helps businesses legitimize their position in society and demonstrate compliance with relevant and useful standards (Deegan, 2002). And annual reports are considered an important channel for businesses to build and maintain legitimacy.</w:t>
      </w:r>
    </w:p>
    <w:p w:rsidR="00000000" w:rsidDel="00000000" w:rsidP="00000000" w:rsidRDefault="00000000" w:rsidRPr="00000000" w14:paraId="00000037">
      <w:pPr>
        <w:spacing w:after="120" w:line="288" w:lineRule="auto"/>
        <w:ind w:firstLine="426"/>
        <w:rPr>
          <w:sz w:val="24"/>
          <w:szCs w:val="24"/>
        </w:rPr>
      </w:pPr>
      <w:r w:rsidDel="00000000" w:rsidR="00000000" w:rsidRPr="00000000">
        <w:rPr>
          <w:sz w:val="24"/>
          <w:szCs w:val="24"/>
          <w:rtl w:val="0"/>
        </w:rPr>
        <w:t xml:space="preserve">Meanwhile, agency theory, information asymmetry and the risk of opportunistic behavior often exist between shareholders (principals) and managers (agents), leading to conflicts of interest and agency costs (Jensen &amp; Meckling, 1976). In this context, information disclosure is seen as a mechanism to reduce asymmetry and limit conflicts of interest (Chouaibi &amp; Zouari, 2021). In developing countries, although measuring and disclosing sustainable contributions remains challenging, businesses still have an incentive to increase transparency to provide information to stakeholders and strengthen investor confidence, especially when the economy needs external capital. Simultaneously, the requirement for transparency also relates to how businesses present financial reports to avoid misunderstandings, including discussions on earnings management (Alodat et al., 2023).</w:t>
      </w:r>
    </w:p>
    <w:p w:rsidR="00000000" w:rsidDel="00000000" w:rsidP="00000000" w:rsidRDefault="00000000" w:rsidRPr="00000000" w14:paraId="00000038">
      <w:pPr>
        <w:spacing w:after="120" w:line="288" w:lineRule="auto"/>
        <w:ind w:firstLine="426"/>
        <w:rPr>
          <w:sz w:val="24"/>
          <w:szCs w:val="24"/>
        </w:rPr>
      </w:pPr>
      <w:r w:rsidDel="00000000" w:rsidR="00000000" w:rsidRPr="00000000">
        <w:rPr>
          <w:sz w:val="24"/>
          <w:szCs w:val="24"/>
          <w:rtl w:val="0"/>
        </w:rPr>
        <w:t xml:space="preserve">In addition to the theoretical frameworks, numerous empirical studies have also analyzed the impact of sustainable practices from various approaches. Synthesizing the results reveals that current evidence has not yielded a unified conclusion, often forming two opposing interpretations of the relationship between sustainable practices and earnings management behavior  (Alodat et al., 2023; Velte, 2019). On the one hand, the majority of studies show a negative impact of sustainable practices on earnings management behavior, consistent with stakeholder theory predictions (Alodat, 2023; Githaiga, 2023; Chouaibi &amp; Zouari, 2021; Velte, 2019; Tran et al., 2022). This result is commonly explained by two connected mechanisms. First, a long-term orientation suggests that firms with stronger sustainability practices and disclosure invest in durable stakeholder relationships and reputational capital, which lowers incentives to manipulate earnings for short-term targets because such actions can erode trust and credibility (Palacios-Manzano et al., 2019). When earnings quality deteriorates, it may conflict with stakeholder expectations and ultimately harm long-term value creation (Velte, 2019). Second, accountability discipline implies that more extensive sustainability disclosure increases visibility and external scrutiny by investors, regulators, and other stakeholders, raising detection and reputational costs and thereby limiting managers’ ability to manage earnings (Alodat et al., 2023).</w:t>
      </w:r>
    </w:p>
    <w:p w:rsidR="00000000" w:rsidDel="00000000" w:rsidP="00000000" w:rsidRDefault="00000000" w:rsidRPr="00000000" w14:paraId="00000039">
      <w:pPr>
        <w:spacing w:after="120" w:line="288" w:lineRule="auto"/>
        <w:ind w:firstLine="426"/>
        <w:rPr>
          <w:sz w:val="24"/>
          <w:szCs w:val="24"/>
        </w:rPr>
      </w:pPr>
      <w:r w:rsidDel="00000000" w:rsidR="00000000" w:rsidRPr="00000000">
        <w:rPr>
          <w:sz w:val="24"/>
          <w:szCs w:val="24"/>
          <w:rtl w:val="0"/>
        </w:rPr>
        <w:t xml:space="preserve">On the other hand, some studies suggest the opposite effect, arguing that the implementation and disclosure of sustainability have a positive impact on earnings management (Almubarak et al., 2023; Pasko et al., 2021; Yu et al., 2020; Zhang et al., 2021). Studies suggest that sustainable practices and disclosures may be used by management as a tool to serve strategic objectives, rather than reflecting a genuine commitment to transparency (Almubarak et al., 2023). Specifically, management may promote CSR or ESG to create an image of a “responsible business” and enhance legitimacy in the eyes of the community, investors, and the media. When this image is built strong enough, stakeholders tend to place more trust and reduce the level of scrutiny of the company's financial decisions. This decrease in substantive oversight increases the “control gap,” thereby allowing management to manipulate earnings with less detection or negative reaction (Almubarak et al., 2023; Pasko et al., 2021). In addition, some studies highlight the reputational compensation mechanism. Under this mechanism, management can implement sustainability practices as a way to build goodwill and maintain stakeholder support, while still pursuing short-term profit objectives through discretionary accounting decisions. In other words, CSR or ESG is used to reduce pressure and alleviate potential doubts, thereby supporting management in achieving financial goals by manipulating profits (Almubarak et al., 2023; Gargouri et al., 2010).</w:t>
      </w:r>
    </w:p>
    <w:p w:rsidR="00000000" w:rsidDel="00000000" w:rsidP="00000000" w:rsidRDefault="00000000" w:rsidRPr="00000000" w14:paraId="0000003A">
      <w:pPr>
        <w:spacing w:after="120" w:line="288" w:lineRule="auto"/>
        <w:ind w:firstLine="426"/>
        <w:rPr>
          <w:sz w:val="24"/>
          <w:szCs w:val="24"/>
        </w:rPr>
      </w:pPr>
      <w:r w:rsidDel="00000000" w:rsidR="00000000" w:rsidRPr="00000000">
        <w:rPr>
          <w:sz w:val="24"/>
          <w:szCs w:val="24"/>
          <w:rtl w:val="0"/>
        </w:rPr>
        <w:t xml:space="preserve">In Vietnam, the corporate governance and financial reporting environment still reflects typical developing-market weaknesses, including relatively weak governance and lower-quality reporting practices (Asian Development Bank, 2014). The market has also faced earnings manipulation and reporting irregularities, which undermine investor confidence and constrain access to foreign capital (Dang et al., 2023). In addition, frequent differences between pre-audit and post-audit financial statements raise concerns about reporting quality and earnings management (Choi et al., 2020). Although CSR and sustainability reporting requirements have emerged alongside evolving regulations and practices, disclosure remains uneven and empirical evidence in Vietnam is still limited (Nguyen et al., 2022; Dang et al., 2021). Given persistent concerns about information reliability, more adequate and consistent SDG disclosure is expected to strengthen transparency and accountability, increase external monitoring, and reduce incentives for earnings management. Accordingly, this study expects that SDG disclosure will reduce earnings management in Vietnam.</w:t>
      </w:r>
    </w:p>
    <w:p w:rsidR="00000000" w:rsidDel="00000000" w:rsidP="00000000" w:rsidRDefault="00000000" w:rsidRPr="00000000" w14:paraId="0000003B">
      <w:pPr>
        <w:spacing w:after="120" w:line="288" w:lineRule="auto"/>
        <w:rPr>
          <w:i w:val="1"/>
          <w:iCs w:val="1"/>
          <w:sz w:val="24"/>
          <w:szCs w:val="24"/>
        </w:rPr>
      </w:pPr>
      <w:r w:rsidDel="00000000" w:rsidR="00000000" w:rsidRPr="00000000">
        <w:rPr>
          <w:i w:val="1"/>
          <w:iCs w:val="1"/>
          <w:sz w:val="24"/>
          <w:szCs w:val="24"/>
          <w:rtl w:val="0"/>
        </w:rPr>
        <w:t xml:space="preserve">H1: There is a negative relationship between Sustainable Development Goals disclosure and earning management.</w:t>
      </w:r>
    </w:p>
    <w:p w:rsidR="00000000" w:rsidDel="00000000" w:rsidP="00000000" w:rsidRDefault="00000000" w:rsidRPr="00000000" w14:paraId="0000003C">
      <w:pPr>
        <w:pStyle w:val="Heading1"/>
        <w:spacing w:after="120" w:line="288" w:lineRule="auto"/>
        <w:rPr>
          <w:sz w:val="24"/>
          <w:szCs w:val="24"/>
        </w:rPr>
      </w:pPr>
      <w:bookmarkStart w:colFirst="0" w:colLast="0" w:name="_heading=h.i6rbb569t5ud" w:id="6"/>
      <w:bookmarkEnd w:id="6"/>
      <w:r w:rsidDel="00000000" w:rsidR="00000000" w:rsidRPr="00000000">
        <w:rPr>
          <w:sz w:val="24"/>
          <w:szCs w:val="24"/>
          <w:rtl w:val="0"/>
        </w:rPr>
        <w:t xml:space="preserve">3. Research methodology</w:t>
      </w:r>
    </w:p>
    <w:p w:rsidR="00000000" w:rsidDel="00000000" w:rsidP="00000000" w:rsidRDefault="00000000" w:rsidRPr="00000000" w14:paraId="0000003D">
      <w:pPr>
        <w:pStyle w:val="Heading2"/>
        <w:spacing w:after="120" w:line="288" w:lineRule="auto"/>
        <w:rPr>
          <w:sz w:val="24"/>
          <w:szCs w:val="24"/>
        </w:rPr>
      </w:pPr>
      <w:bookmarkStart w:colFirst="0" w:colLast="0" w:name="_heading=h.z8rae8ixlg7t" w:id="7"/>
      <w:bookmarkEnd w:id="7"/>
      <w:r w:rsidDel="00000000" w:rsidR="00000000" w:rsidRPr="00000000">
        <w:rPr>
          <w:sz w:val="24"/>
          <w:szCs w:val="24"/>
          <w:rtl w:val="0"/>
        </w:rPr>
        <w:t xml:space="preserve">3.1. Research model</w:t>
      </w:r>
    </w:p>
    <w:p w:rsidR="00000000" w:rsidDel="00000000" w:rsidP="00000000" w:rsidRDefault="00000000" w:rsidRPr="00000000" w14:paraId="0000003E">
      <w:pPr>
        <w:spacing w:after="120" w:line="288" w:lineRule="auto"/>
        <w:ind w:firstLine="426"/>
        <w:rPr>
          <w:sz w:val="24"/>
          <w:szCs w:val="24"/>
        </w:rPr>
      </w:pPr>
      <w:r w:rsidDel="00000000" w:rsidR="00000000" w:rsidRPr="00000000">
        <w:rPr>
          <w:sz w:val="24"/>
          <w:szCs w:val="24"/>
          <w:rtl w:val="0"/>
        </w:rPr>
        <w:t xml:space="preserve">To evaluate the impact of SDG Disclosure on Earnings Management, we built the research models below based on the models of Grimaldi et al. (2020) and Saha et al. (2024).</w:t>
      </w:r>
    </w:p>
    <w:p w:rsidR="00000000" w:rsidDel="00000000" w:rsidP="00000000" w:rsidRDefault="00000000" w:rsidRPr="00000000" w14:paraId="0000003F">
      <w:pPr>
        <w:spacing w:after="120" w:line="288" w:lineRule="auto"/>
        <w:jc w:val="center"/>
        <w:rPr>
          <w:i w:val="1"/>
          <w:iCs w:val="1"/>
          <w:sz w:val="24"/>
          <w:szCs w:val="24"/>
          <w:vertAlign w:val="subscript"/>
        </w:rPr>
      </w:pPr>
      <m:oMath>
        <m:r>
          <w:rPr>
            <w:rFonts w:ascii="Cambria Math" w:cs="Cambria Math" w:eastAsia="Cambria Math" w:hAnsi="Cambria Math"/>
            <w:sz w:val="24"/>
            <w:szCs w:val="24"/>
          </w:rPr>
          <m:t xml:space="preserve">AEM</m:t>
        </m:r>
        <m:r>
          <w:rPr>
            <w:rFonts w:ascii="Cambria Math" w:cs="Cambria Math" w:eastAsia="Cambria Math" w:hAnsi="Cambria Math"/>
            <w:sz w:val="24"/>
            <w:szCs w:val="24"/>
            <w:vertAlign w:val="subscript"/>
          </w:rPr>
          <m:t xml:space="preserve">i, t</m:t>
        </m:r>
        <m:r>
          <w:rPr>
            <w:rFonts w:ascii="Cambria Math" w:cs="Cambria Math" w:eastAsia="Cambria Math" w:hAnsi="Cambria Math"/>
            <w:sz w:val="24"/>
            <w:szCs w:val="24"/>
          </w:rPr>
          <m:t xml:space="preserve"> = α + β</m:t>
        </m:r>
        <m:r>
          <w:rPr>
            <w:rFonts w:ascii="Cambria Math" w:cs="Cambria Math" w:eastAsia="Cambria Math" w:hAnsi="Cambria Math"/>
            <w:sz w:val="24"/>
            <w:szCs w:val="24"/>
            <w:vertAlign w:val="subscript"/>
          </w:rPr>
          <m:t xml:space="preserve">1</m:t>
        </m:r>
        <m:r>
          <w:rPr>
            <w:rFonts w:ascii="Cambria Math" w:cs="Cambria Math" w:eastAsia="Cambria Math" w:hAnsi="Cambria Math"/>
            <w:sz w:val="24"/>
            <w:szCs w:val="24"/>
          </w:rPr>
          <m:t xml:space="preserve"> SDG</m:t>
        </m:r>
        <m:r>
          <w:rPr>
            <w:rFonts w:ascii="Cambria Math" w:cs="Cambria Math" w:eastAsia="Cambria Math" w:hAnsi="Cambria Math"/>
            <w:sz w:val="24"/>
            <w:szCs w:val="24"/>
            <w:vertAlign w:val="subscript"/>
          </w:rPr>
          <m:t xml:space="preserve">i,t </m:t>
        </m:r>
        <m:r>
          <w:rPr>
            <w:rFonts w:ascii="Cambria Math" w:cs="Cambria Math" w:eastAsia="Cambria Math" w:hAnsi="Cambria Math"/>
            <w:sz w:val="24"/>
            <w:szCs w:val="24"/>
          </w:rPr>
          <m:t xml:space="preserve">+</m:t>
        </m:r>
        <m:r>
          <w:rPr>
            <w:rFonts w:ascii="Cambria Math" w:cs="Cambria Math" w:eastAsia="Cambria Math" w:hAnsi="Cambria Math"/>
            <w:sz w:val="24"/>
            <w:szCs w:val="24"/>
            <w:vertAlign w:val="subscript"/>
          </w:rPr>
          <m:t xml:space="preserve"> </m:t>
        </m:r>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k=1</m:t>
            </m:r>
          </m:sub>
          <m:sup>
            <m:r>
              <w:rPr>
                <w:rFonts w:ascii="Cambria Math" w:cs="Cambria Math" w:eastAsia="Cambria Math" w:hAnsi="Cambria Math"/>
                <w:sz w:val="24"/>
                <w:szCs w:val="24"/>
              </w:rPr>
              <m:t xml:space="preserve">n</m:t>
            </m:r>
          </m:sup>
        </m:nary>
        <m:r>
          <w:rPr>
            <w:rFonts w:ascii="Cambria Math" w:cs="Cambria Math" w:eastAsia="Cambria Math" w:hAnsi="Cambria Math"/>
            <w:sz w:val="24"/>
            <w:szCs w:val="24"/>
          </w:rPr>
          <m:t>β</m:t>
        </m:r>
        <m:r>
          <w:rPr>
            <w:rFonts w:ascii="Cambria Math" w:cs="Cambria Math" w:eastAsia="Cambria Math" w:hAnsi="Cambria Math"/>
            <w:sz w:val="24"/>
            <w:szCs w:val="24"/>
            <w:vertAlign w:val="subscript"/>
          </w:rPr>
          <m:t xml:space="preserve">k</m:t>
        </m:r>
        <m:r>
          <w:rPr>
            <w:rFonts w:ascii="Cambria Math" w:cs="Cambria Math" w:eastAsia="Cambria Math" w:hAnsi="Cambria Math"/>
            <w:sz w:val="24"/>
            <w:szCs w:val="24"/>
          </w:rPr>
          <m:t xml:space="preserve"> Control</m:t>
        </m:r>
        <m:r>
          <w:rPr>
            <w:rFonts w:ascii="Cambria Math" w:cs="Cambria Math" w:eastAsia="Cambria Math" w:hAnsi="Cambria Math"/>
            <w:sz w:val="24"/>
            <w:szCs w:val="24"/>
            <w:vertAlign w:val="subscript"/>
          </w:rPr>
          <m:t xml:space="preserve">k, i, t</m:t>
        </m:r>
        <m:r>
          <w:rPr>
            <w:rFonts w:ascii="Cambria Math" w:cs="Cambria Math" w:eastAsia="Cambria Math" w:hAnsi="Cambria Math"/>
            <w:sz w:val="24"/>
            <w:szCs w:val="24"/>
          </w:rPr>
          <m:t xml:space="preserve"> + ε</m:t>
        </m:r>
        <m:r>
          <w:rPr>
            <w:rFonts w:ascii="Cambria Math" w:cs="Cambria Math" w:eastAsia="Cambria Math" w:hAnsi="Cambria Math"/>
            <w:sz w:val="24"/>
            <w:szCs w:val="24"/>
            <w:vertAlign w:val="subscript"/>
          </w:rPr>
          <m:t xml:space="preserve">i, t</m:t>
        </m:r>
      </m:oMath>
      <w:r w:rsidDel="00000000" w:rsidR="00000000" w:rsidRPr="00000000">
        <w:rPr>
          <w:i w:val="1"/>
          <w:iCs w:val="1"/>
          <w:sz w:val="24"/>
          <w:szCs w:val="24"/>
          <w:vertAlign w:val="subscript"/>
          <w:rtl w:val="0"/>
        </w:rPr>
        <w:t xml:space="preserve"> </w:t>
      </w:r>
      <w:r w:rsidDel="00000000" w:rsidR="00000000" w:rsidRPr="00000000">
        <w:rPr>
          <w:i w:val="1"/>
          <w:iCs w:val="1"/>
          <w:sz w:val="24"/>
          <w:szCs w:val="24"/>
          <w:rtl w:val="0"/>
        </w:rPr>
        <w:t xml:space="preserve"> (1)  </w:t>
      </w:r>
      <w:r w:rsidDel="00000000" w:rsidR="00000000" w:rsidRPr="00000000">
        <w:rPr>
          <w:i w:val="1"/>
          <w:iCs w:val="1"/>
          <w:sz w:val="24"/>
          <w:szCs w:val="24"/>
          <w:vertAlign w:val="subscript"/>
          <w:rtl w:val="0"/>
        </w:rPr>
        <w:t xml:space="preserve">   </w:t>
      </w:r>
    </w:p>
    <w:p w:rsidR="00000000" w:rsidDel="00000000" w:rsidP="00000000" w:rsidRDefault="00000000" w:rsidRPr="00000000" w14:paraId="00000040">
      <w:pPr>
        <w:spacing w:after="120" w:line="288" w:lineRule="auto"/>
        <w:rPr>
          <w:sz w:val="24"/>
          <w:szCs w:val="24"/>
        </w:rPr>
      </w:pPr>
      <w:r w:rsidDel="00000000" w:rsidR="00000000" w:rsidRPr="00000000">
        <w:rPr>
          <w:sz w:val="24"/>
          <w:szCs w:val="24"/>
          <w:rtl w:val="0"/>
        </w:rPr>
        <w:t xml:space="preserve">where i prefer firms and t (2015-2024) prefer the annual year in this study. </w:t>
      </w:r>
      <m:oMath>
        <m:r>
          <w:rPr>
            <w:rFonts w:ascii="Cambria Math" w:cs="Cambria Math" w:eastAsia="Cambria Math" w:hAnsi="Cambria Math"/>
            <w:sz w:val="24"/>
            <w:szCs w:val="24"/>
          </w:rPr>
          <m:t xml:space="preserve">AEM</m:t>
        </m:r>
      </m:oMath>
      <w:r w:rsidDel="00000000" w:rsidR="00000000" w:rsidRPr="00000000">
        <w:rPr>
          <w:b w:val="1"/>
          <w:bCs w:val="1"/>
          <w:sz w:val="24"/>
          <w:szCs w:val="24"/>
          <w:rtl w:val="0"/>
        </w:rPr>
        <w:t xml:space="preserve"> </w:t>
      </w:r>
      <w:r w:rsidDel="00000000" w:rsidR="00000000" w:rsidRPr="00000000">
        <w:rPr>
          <w:sz w:val="24"/>
          <w:szCs w:val="24"/>
          <w:rtl w:val="0"/>
        </w:rPr>
        <w:t xml:space="preserve">is earnings management which is measured by the model proposed by Pae (2005). </w:t>
      </w:r>
      <m:oMath>
        <m:r>
          <w:rPr>
            <w:rFonts w:ascii="Cambria Math" w:cs="Cambria Math" w:eastAsia="Cambria Math" w:hAnsi="Cambria Math"/>
            <w:sz w:val="24"/>
            <w:szCs w:val="24"/>
          </w:rPr>
          <m:t xml:space="preserve">SDG</m:t>
        </m:r>
      </m:oMath>
      <w:r w:rsidDel="00000000" w:rsidR="00000000" w:rsidRPr="00000000">
        <w:rPr>
          <w:b w:val="1"/>
          <w:bCs w:val="1"/>
          <w:sz w:val="24"/>
          <w:szCs w:val="24"/>
          <w:rtl w:val="0"/>
        </w:rPr>
        <w:t xml:space="preserve"> </w:t>
      </w:r>
      <w:r w:rsidDel="00000000" w:rsidR="00000000" w:rsidRPr="00000000">
        <w:rPr>
          <w:sz w:val="24"/>
          <w:szCs w:val="24"/>
          <w:rtl w:val="0"/>
        </w:rPr>
        <w:t xml:space="preserve">is independent variable that prefers firms’ disclosure of Sustainable Development Goals information which is measured by machine learning approach combined with a query-based approach using text2sdg library. Besides the primary explanatory variables, this study controls for factors affecting earnings management including </w:t>
      </w:r>
      <m:oMath>
        <m:r>
          <w:rPr>
            <w:rFonts w:ascii="Cambria Math" w:cs="Cambria Math" w:eastAsia="Cambria Math" w:hAnsi="Cambria Math"/>
            <w:sz w:val="24"/>
            <w:szCs w:val="24"/>
          </w:rPr>
          <m:t xml:space="preserve">ROE</m:t>
        </m:r>
      </m:oMath>
      <w:r w:rsidDel="00000000" w:rsidR="00000000" w:rsidRPr="00000000">
        <w:rPr>
          <w:b w:val="1"/>
          <w:bCs w:val="1"/>
          <w:sz w:val="24"/>
          <w:szCs w:val="24"/>
          <w:rtl w:val="0"/>
        </w:rPr>
        <w:t xml:space="preserve">, </w:t>
      </w:r>
      <m:oMath>
        <m:r>
          <w:rPr>
            <w:rFonts w:ascii="Cambria Math" w:cs="Cambria Math" w:eastAsia="Cambria Math" w:hAnsi="Cambria Math"/>
            <w:sz w:val="24"/>
            <w:szCs w:val="24"/>
          </w:rPr>
          <m:t xml:space="preserve">SIZE</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LEV</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AT</m:t>
        </m:r>
      </m:oMath>
      <w:r w:rsidDel="00000000" w:rsidR="00000000" w:rsidRPr="00000000">
        <w:rPr>
          <w:b w:val="1"/>
          <w:bCs w:val="1"/>
          <w:sz w:val="24"/>
          <w:szCs w:val="24"/>
          <w:rtl w:val="0"/>
        </w:rPr>
        <w:t xml:space="preserve">, </w:t>
      </w:r>
      <m:oMath>
        <m:r>
          <w:rPr>
            <w:rFonts w:ascii="Cambria Math" w:cs="Cambria Math" w:eastAsia="Cambria Math" w:hAnsi="Cambria Math"/>
            <w:sz w:val="24"/>
            <w:szCs w:val="24"/>
          </w:rPr>
          <m:t xml:space="preserve">GROWTH</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STATE_OWN</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FOREIGN_OWN</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BIG4</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AGE,</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LOSS</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MTB</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IA</m:t>
        </m:r>
      </m:oMath>
      <w:r w:rsidDel="00000000" w:rsidR="00000000" w:rsidRPr="00000000">
        <w:rPr>
          <w:sz w:val="24"/>
          <w:szCs w:val="24"/>
          <w:rtl w:val="0"/>
        </w:rPr>
        <w:t xml:space="preserve">. </w:t>
      </w:r>
      <m:oMath>
        <m:r>
          <w:rPr>
            <w:rFonts w:ascii="Cambria Math" w:cs="Cambria Math" w:eastAsia="Cambria Math" w:hAnsi="Cambria Math"/>
            <w:sz w:val="24"/>
            <w:szCs w:val="24"/>
          </w:rPr>
          <m:t xml:space="preserve">ROE</m:t>
        </m:r>
      </m:oMath>
      <w:r w:rsidDel="00000000" w:rsidR="00000000" w:rsidRPr="00000000">
        <w:rPr>
          <w:b w:val="1"/>
          <w:bCs w:val="1"/>
          <w:sz w:val="24"/>
          <w:szCs w:val="24"/>
          <w:rtl w:val="0"/>
        </w:rPr>
        <w:t xml:space="preserve"> </w:t>
      </w:r>
      <w:r w:rsidDel="00000000" w:rsidR="00000000" w:rsidRPr="00000000">
        <w:rPr>
          <w:sz w:val="24"/>
          <w:szCs w:val="24"/>
          <w:rtl w:val="0"/>
        </w:rPr>
        <w:t xml:space="preserve">represents profitability of the company as calculated as return of equity. ROE represents the profitability of the company. SIZE represents firm size. LEV represents financial leverage. AT represents asset turnover. GROWTH represents the growth ability of the company. STATE_OWN represents the level of state ownership. FOREIGN_OWN represents the level of foreign ownership. BIG4 represents audit quality. AGE represents firm age. LOSS indicates whether the firm reports a loss during the year. MTB represents the market-to-book ratio. IA represents information asymmetry.</w:t>
      </w:r>
    </w:p>
    <w:p w:rsidR="00000000" w:rsidDel="00000000" w:rsidP="00000000" w:rsidRDefault="00000000" w:rsidRPr="00000000" w14:paraId="00000041">
      <w:pPr>
        <w:pStyle w:val="Heading2"/>
        <w:spacing w:after="120" w:line="288" w:lineRule="auto"/>
        <w:rPr>
          <w:sz w:val="24"/>
          <w:szCs w:val="24"/>
        </w:rPr>
      </w:pPr>
      <w:bookmarkStart w:colFirst="0" w:colLast="0" w:name="_heading=h.3t25g4hsdp5d" w:id="8"/>
      <w:bookmarkEnd w:id="8"/>
      <w:r w:rsidDel="00000000" w:rsidR="00000000" w:rsidRPr="00000000">
        <w:rPr>
          <w:sz w:val="24"/>
          <w:szCs w:val="24"/>
          <w:rtl w:val="0"/>
        </w:rPr>
        <w:t xml:space="preserve">3.2. Data measurement</w:t>
      </w:r>
    </w:p>
    <w:p w:rsidR="00000000" w:rsidDel="00000000" w:rsidP="00000000" w:rsidRDefault="00000000" w:rsidRPr="00000000" w14:paraId="00000042">
      <w:pPr>
        <w:pStyle w:val="Heading2"/>
        <w:spacing w:after="120" w:line="288" w:lineRule="auto"/>
        <w:rPr>
          <w:b w:val="0"/>
          <w:bCs w:val="0"/>
          <w:sz w:val="24"/>
          <w:szCs w:val="24"/>
        </w:rPr>
      </w:pPr>
      <w:bookmarkStart w:colFirst="0" w:colLast="0" w:name="_heading=h.usu4apofs618" w:id="9"/>
      <w:bookmarkEnd w:id="9"/>
      <w:r w:rsidDel="00000000" w:rsidR="00000000" w:rsidRPr="00000000">
        <w:rPr>
          <w:b w:val="0"/>
          <w:bCs w:val="0"/>
          <w:sz w:val="24"/>
          <w:szCs w:val="24"/>
          <w:rtl w:val="0"/>
        </w:rPr>
        <w:t xml:space="preserve">3.2.1. Earnings management</w:t>
      </w:r>
    </w:p>
    <w:p w:rsidR="00000000" w:rsidDel="00000000" w:rsidP="00000000" w:rsidRDefault="00000000" w:rsidRPr="00000000" w14:paraId="00000043">
      <w:pPr>
        <w:spacing w:after="120" w:line="288" w:lineRule="auto"/>
        <w:ind w:firstLine="426"/>
        <w:rPr>
          <w:sz w:val="24"/>
          <w:szCs w:val="24"/>
        </w:rPr>
      </w:pPr>
      <w:r w:rsidDel="00000000" w:rsidR="00000000" w:rsidRPr="00000000">
        <w:rPr>
          <w:sz w:val="24"/>
          <w:szCs w:val="24"/>
          <w:rtl w:val="0"/>
        </w:rPr>
        <w:t xml:space="preserve">In this study, earnings management is measured using accrual-based earnings management  following the model proposed by Pae (2005) as below:</w:t>
      </w:r>
    </w:p>
    <w:p w:rsidR="00000000" w:rsidDel="00000000" w:rsidP="00000000" w:rsidRDefault="00000000" w:rsidRPr="00000000" w14:paraId="00000044">
      <w:pPr>
        <w:spacing w:after="120" w:line="288" w:lineRule="auto"/>
        <w:jc w:val="center"/>
        <w:rPr>
          <w:sz w:val="24"/>
          <w:szCs w:val="24"/>
        </w:rPr>
      </w:pPr>
      <m:oMath>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ACC</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0</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1</m:t>
            </m:r>
          </m:sub>
        </m:sSub>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2</m:t>
            </m:r>
          </m:sub>
        </m:sSub>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ΔREV</m:t>
                    </m:r>
                  </m:e>
                  <m:sub>
                    <m:r>
                      <w:rPr>
                        <w:rFonts w:ascii="Cambria Math" w:cs="Cambria Math" w:eastAsia="Cambria Math" w:hAnsi="Cambria Math"/>
                        <w:sz w:val="24"/>
                        <w:szCs w:val="24"/>
                      </w:rPr>
                      <m:t xml:space="preserve">i,t</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3</m:t>
            </m:r>
          </m:sub>
        </m:sSub>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PPE</m:t>
                    </m:r>
                  </m:e>
                  <m:sub>
                    <m:r>
                      <w:rPr>
                        <w:rFonts w:ascii="Cambria Math" w:cs="Cambria Math" w:eastAsia="Cambria Math" w:hAnsi="Cambria Math"/>
                        <w:sz w:val="24"/>
                        <w:szCs w:val="24"/>
                      </w:rPr>
                      <m:t xml:space="preserve">i,t</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4</m:t>
            </m:r>
          </m:sub>
        </m:sSub>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CFO</m:t>
                    </m:r>
                  </m:e>
                  <m:sub>
                    <m:r>
                      <w:rPr>
                        <w:rFonts w:ascii="Cambria Math" w:cs="Cambria Math" w:eastAsia="Cambria Math" w:hAnsi="Cambria Math"/>
                        <w:sz w:val="24"/>
                        <w:szCs w:val="24"/>
                      </w:rPr>
                      <m:t xml:space="preserve">i,t</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5</m:t>
            </m:r>
          </m:sub>
        </m:sSub>
        <m:d>
          <m:dPr>
            <m:begChr m:val="("/>
            <m:endChr m:val=")"/>
            <m:ctrlPr>
              <w:rPr>
                <w:rFonts w:ascii="Cambria Math" w:cs="Cambria Math" w:eastAsia="Cambria Math" w:hAnsi="Cambria Math"/>
                <w:sz w:val="24"/>
                <w:szCs w:val="24"/>
              </w:rPr>
            </m:ctrlPr>
          </m:dPr>
          <m:e>
            <m:f>
              <m:fPr>
                <m:ctrlPr>
                  <w:rPr>
                    <w:rFonts w:ascii="Cambria Math" w:cs="Cambria Math" w:eastAsia="Cambria Math" w:hAnsi="Cambria Math"/>
                    <w:sz w:val="24"/>
                    <w:szCs w:val="24"/>
                  </w:rPr>
                </m:ctrlPr>
              </m:fPr>
              <m:num>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CFO</m:t>
                    </m:r>
                  </m:e>
                  <m:sub>
                    <m:r>
                      <w:rPr>
                        <w:rFonts w:ascii="Cambria Math" w:cs="Cambria Math" w:eastAsia="Cambria Math" w:hAnsi="Cambria Math"/>
                        <w:sz w:val="24"/>
                        <w:szCs w:val="24"/>
                      </w:rPr>
                      <m:t xml:space="preserve">i,t-1</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i,t-1</m:t>
                    </m:r>
                  </m:sub>
                </m:sSub>
              </m:den>
            </m:f>
          </m:e>
        </m:d>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ε</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m:t>
        </m:r>
      </m:oMath>
      <w:r w:rsidDel="00000000" w:rsidR="00000000" w:rsidRPr="00000000">
        <w:rPr>
          <w:sz w:val="24"/>
          <w:szCs w:val="24"/>
          <w:rtl w:val="0"/>
        </w:rPr>
        <w:t xml:space="preserve">(2)</w:t>
      </w:r>
    </w:p>
    <w:p w:rsidR="00000000" w:rsidDel="00000000" w:rsidP="00000000" w:rsidRDefault="00000000" w:rsidRPr="00000000" w14:paraId="00000045">
      <w:pPr>
        <w:spacing w:after="120" w:line="288" w:lineRule="auto"/>
        <w:rPr>
          <w:sz w:val="24"/>
          <w:szCs w:val="24"/>
        </w:rPr>
      </w:pPr>
      <w:r w:rsidDel="00000000" w:rsidR="00000000" w:rsidRPr="00000000">
        <w:rPr>
          <w:sz w:val="24"/>
          <w:szCs w:val="24"/>
          <w:rtl w:val="0"/>
        </w:rPr>
        <w:t xml:space="preserve">where i prefer firms and t (2015-2024) prefer the annual year in this study, ACC is total accruals which is equals to income before extraordinary items and discontinued operation less cash flow from operation,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TA</m:t>
            </m:r>
          </m:e>
          <m:sub>
            <m:r>
              <w:rPr>
                <w:rFonts w:ascii="Cambria Math" w:cs="Cambria Math" w:eastAsia="Cambria Math" w:hAnsi="Cambria Math"/>
                <w:sz w:val="24"/>
                <w:szCs w:val="24"/>
              </w:rPr>
              <m:t xml:space="preserve">i, t-1</m:t>
            </m:r>
          </m:sub>
        </m:sSub>
      </m:oMath>
      <w:r w:rsidDel="00000000" w:rsidR="00000000" w:rsidRPr="00000000">
        <w:rPr>
          <w:sz w:val="24"/>
          <w:szCs w:val="24"/>
          <w:rtl w:val="0"/>
        </w:rPr>
        <w:t xml:space="preserve"> is total assets in year, </w:t>
      </w:r>
      <m:oMath>
        <m:r>
          <w:rPr>
            <w:rFonts w:ascii="Cambria Math" w:cs="Cambria Math" w:eastAsia="Cambria Math" w:hAnsi="Cambria Math"/>
            <w:sz w:val="24"/>
            <w:szCs w:val="24"/>
          </w:rPr>
          <m:t xml:space="preserve">ΔREV</m:t>
        </m:r>
      </m:oMath>
      <w:r w:rsidDel="00000000" w:rsidR="00000000" w:rsidRPr="00000000">
        <w:rPr>
          <w:sz w:val="24"/>
          <w:szCs w:val="24"/>
          <w:rtl w:val="0"/>
        </w:rPr>
        <w:t xml:space="preserve"> is the change in revenue from preceding year,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PPE</m:t>
            </m:r>
          </m:e>
          <m:sub>
            <m:r>
              <w:rPr>
                <w:rFonts w:ascii="Cambria Math" w:cs="Cambria Math" w:eastAsia="Cambria Math" w:hAnsi="Cambria Math"/>
                <w:sz w:val="24"/>
                <w:szCs w:val="24"/>
              </w:rPr>
              <m:t xml:space="preserve">i,t</m:t>
            </m:r>
          </m:sub>
        </m:sSub>
      </m:oMath>
      <w:r w:rsidDel="00000000" w:rsidR="00000000" w:rsidRPr="00000000">
        <w:rPr>
          <w:sz w:val="24"/>
          <w:szCs w:val="24"/>
          <w:rtl w:val="0"/>
        </w:rPr>
        <w:t xml:space="preserve"> is the gross value of property, plant and equipment,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CFO</m:t>
            </m:r>
          </m:e>
          <m:sub>
            <m:r>
              <w:rPr>
                <w:rFonts w:ascii="Cambria Math" w:cs="Cambria Math" w:eastAsia="Cambria Math" w:hAnsi="Cambria Math"/>
                <w:sz w:val="24"/>
                <w:szCs w:val="24"/>
              </w:rPr>
              <m:t xml:space="preserve">i,t</m:t>
            </m:r>
          </m:sub>
        </m:sSub>
      </m:oMath>
      <w:r w:rsidDel="00000000" w:rsidR="00000000" w:rsidRPr="00000000">
        <w:rPr>
          <w:sz w:val="24"/>
          <w:szCs w:val="24"/>
          <w:rtl w:val="0"/>
        </w:rPr>
        <w:t xml:space="preserve">is the operating cash flow.</w:t>
      </w:r>
    </w:p>
    <w:p w:rsidR="00000000" w:rsidDel="00000000" w:rsidP="00000000" w:rsidRDefault="00000000" w:rsidRPr="00000000" w14:paraId="00000046">
      <w:pPr>
        <w:spacing w:after="120" w:line="288" w:lineRule="auto"/>
        <w:rPr>
          <w:i w:val="1"/>
          <w:iCs w:val="1"/>
          <w:sz w:val="24"/>
          <w:szCs w:val="24"/>
        </w:rPr>
      </w:pPr>
      <w:r w:rsidDel="00000000" w:rsidR="00000000" w:rsidRPr="00000000">
        <w:rPr>
          <w:i w:val="1"/>
          <w:iCs w:val="1"/>
          <w:sz w:val="24"/>
          <w:szCs w:val="24"/>
          <w:rtl w:val="0"/>
        </w:rPr>
        <w:t xml:space="preserve">3.2.2. Sustainable Development Goals disclosure</w:t>
      </w:r>
    </w:p>
    <w:p w:rsidR="00000000" w:rsidDel="00000000" w:rsidP="00000000" w:rsidRDefault="00000000" w:rsidRPr="00000000" w14:paraId="00000047">
      <w:pPr>
        <w:spacing w:after="120" w:line="288" w:lineRule="auto"/>
        <w:ind w:firstLine="426"/>
        <w:rPr>
          <w:sz w:val="24"/>
          <w:szCs w:val="24"/>
        </w:rPr>
      </w:pPr>
      <w:r w:rsidDel="00000000" w:rsidR="00000000" w:rsidRPr="00000000">
        <w:rPr>
          <w:sz w:val="24"/>
          <w:szCs w:val="24"/>
          <w:rtl w:val="0"/>
        </w:rPr>
        <w:t xml:space="preserve">In this study, SDGs disclosure is measured through content analysis of firms’ annual reports and sustainability reports by text2sdg library developed by Meier et al. (2022) to identify the presence of each SDG within the content of these reports. We code the SDGs by assigning a score of 1 if the report mentions an impact related to that SDG, and 0 if there is no mention. The SDGs score is then calculated as follows:</w:t>
      </w:r>
    </w:p>
    <w:p w:rsidR="00000000" w:rsidDel="00000000" w:rsidP="00000000" w:rsidRDefault="00000000" w:rsidRPr="00000000" w14:paraId="00000048">
      <w:pPr>
        <w:spacing w:after="120" w:line="288" w:lineRule="auto"/>
        <w:ind w:firstLine="720"/>
        <w:jc w:val="center"/>
        <w:rPr>
          <w:sz w:val="24"/>
          <w:szCs w:val="24"/>
        </w:rPr>
      </w:pPr>
      <m:oMath>
        <m:r>
          <w:rPr>
            <w:rFonts w:ascii="Cambria Math" w:cs="Cambria Math" w:eastAsia="Cambria Math" w:hAnsi="Cambria Math"/>
            <w:sz w:val="24"/>
            <w:szCs w:val="24"/>
          </w:rPr>
          <m:t xml:space="preserve">SDG = </m:t>
        </m:r>
        <m:f>
          <m:fPr>
            <m:ctrlPr>
              <w:rPr>
                <w:rFonts w:ascii="Cambria Math" w:cs="Cambria Math" w:eastAsia="Cambria Math" w:hAnsi="Cambria Math"/>
                <w:sz w:val="24"/>
                <w:szCs w:val="24"/>
              </w:rPr>
            </m:ctrlPr>
          </m:fPr>
          <m:num>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i=1</m:t>
                </m:r>
              </m:sub>
              <m:sup>
                <m:r>
                  <w:rPr>
                    <w:rFonts w:ascii="Cambria Math" w:cs="Cambria Math" w:eastAsia="Cambria Math" w:hAnsi="Cambria Math"/>
                    <w:sz w:val="24"/>
                    <w:szCs w:val="24"/>
                  </w:rPr>
                  <m:t xml:space="preserve">n</m:t>
                </m:r>
              </m:sup>
            </m:nary>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d</m:t>
                </m:r>
              </m:e>
              <m:sub>
                <m:r>
                  <w:rPr>
                    <w:rFonts w:ascii="Cambria Math" w:cs="Cambria Math" w:eastAsia="Cambria Math" w:hAnsi="Cambria Math"/>
                    <w:sz w:val="24"/>
                    <w:szCs w:val="24"/>
                  </w:rPr>
                  <m:t xml:space="preserve">ij</m:t>
                </m:r>
              </m:sub>
            </m:sSub>
          </m:num>
          <m:den>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n</m:t>
                </m:r>
              </m:e>
              <m:sub>
                <m:r>
                  <w:rPr>
                    <w:rFonts w:ascii="Cambria Math" w:cs="Cambria Math" w:eastAsia="Cambria Math" w:hAnsi="Cambria Math"/>
                    <w:sz w:val="24"/>
                    <w:szCs w:val="24"/>
                  </w:rPr>
                  <m:t xml:space="preserve">j</m:t>
                </m:r>
              </m:sub>
            </m:sSub>
          </m:den>
        </m:f>
        <m:r>
          <w:rPr>
            <w:rFonts w:ascii="Cambria Math" w:cs="Cambria Math" w:eastAsia="Cambria Math" w:hAnsi="Cambria Math"/>
            <w:sz w:val="24"/>
            <w:szCs w:val="24"/>
          </w:rPr>
          <m:t xml:space="preserve"> </m:t>
        </m:r>
      </m:oMath>
      <w:r w:rsidDel="00000000" w:rsidR="00000000" w:rsidRPr="00000000">
        <w:rPr>
          <w:sz w:val="24"/>
          <w:szCs w:val="24"/>
          <w:rtl w:val="0"/>
        </w:rPr>
        <w:t xml:space="preserve"> (3)</w:t>
      </w:r>
    </w:p>
    <w:p w:rsidR="00000000" w:rsidDel="00000000" w:rsidP="00000000" w:rsidRDefault="00000000" w:rsidRPr="00000000" w14:paraId="00000049">
      <w:pPr>
        <w:spacing w:after="120" w:line="288" w:lineRule="auto"/>
        <w:rPr>
          <w:sz w:val="24"/>
          <w:szCs w:val="24"/>
        </w:rPr>
      </w:pPr>
      <w:r w:rsidDel="00000000" w:rsidR="00000000" w:rsidRPr="00000000">
        <w:rPr>
          <w:sz w:val="24"/>
          <w:szCs w:val="24"/>
          <w:rtl w:val="0"/>
        </w:rPr>
        <w:t xml:space="preserve">Where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d</m:t>
            </m:r>
          </m:e>
          <m:sub>
            <m:r>
              <w:rPr>
                <w:rFonts w:ascii="Cambria Math" w:cs="Cambria Math" w:eastAsia="Cambria Math" w:hAnsi="Cambria Math"/>
                <w:sz w:val="24"/>
                <w:szCs w:val="24"/>
              </w:rPr>
              <m:t xml:space="preserve">ij</m:t>
            </m:r>
          </m:sub>
        </m:sSub>
      </m:oMath>
      <w:r w:rsidDel="00000000" w:rsidR="00000000" w:rsidRPr="00000000">
        <w:rPr>
          <w:sz w:val="24"/>
          <w:szCs w:val="24"/>
          <w:rtl w:val="0"/>
        </w:rPr>
        <w:t xml:space="preserve"> ​= 1 if the item is disclosed 0 otherwise,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n</m:t>
            </m:r>
          </m:e>
          <m:sub>
            <m:r>
              <w:rPr>
                <w:rFonts w:ascii="Cambria Math" w:cs="Cambria Math" w:eastAsia="Cambria Math" w:hAnsi="Cambria Math"/>
                <w:sz w:val="24"/>
                <w:szCs w:val="24"/>
              </w:rPr>
              <m:t xml:space="preserve">j</m:t>
            </m:r>
          </m:sub>
        </m:sSub>
      </m:oMath>
      <w:r w:rsidDel="00000000" w:rsidR="00000000" w:rsidRPr="00000000">
        <w:rPr>
          <w:sz w:val="24"/>
          <w:szCs w:val="24"/>
          <w:rtl w:val="0"/>
        </w:rPr>
        <w:t xml:space="preserve">​ represent the total number of items in the index.</w:t>
      </w:r>
    </w:p>
    <w:p w:rsidR="00000000" w:rsidDel="00000000" w:rsidP="00000000" w:rsidRDefault="00000000" w:rsidRPr="00000000" w14:paraId="0000004A">
      <w:pPr>
        <w:spacing w:after="120" w:line="288" w:lineRule="auto"/>
        <w:rPr>
          <w:i w:val="1"/>
          <w:iCs w:val="1"/>
          <w:sz w:val="24"/>
          <w:szCs w:val="24"/>
        </w:rPr>
      </w:pPr>
      <w:r w:rsidDel="00000000" w:rsidR="00000000" w:rsidRPr="00000000">
        <w:rPr>
          <w:i w:val="1"/>
          <w:iCs w:val="1"/>
          <w:sz w:val="24"/>
          <w:szCs w:val="24"/>
          <w:rtl w:val="0"/>
        </w:rPr>
        <w:t xml:space="preserve">3.2.3. Control variables</w:t>
      </w:r>
    </w:p>
    <w:p w:rsidR="00000000" w:rsidDel="00000000" w:rsidP="00000000" w:rsidRDefault="00000000" w:rsidRPr="00000000" w14:paraId="0000004B">
      <w:pPr>
        <w:spacing w:after="120" w:line="288" w:lineRule="auto"/>
        <w:ind w:firstLine="426"/>
        <w:rPr>
          <w:sz w:val="24"/>
          <w:szCs w:val="24"/>
        </w:rPr>
      </w:pPr>
      <w:r w:rsidDel="00000000" w:rsidR="00000000" w:rsidRPr="00000000">
        <w:rPr>
          <w:sz w:val="24"/>
          <w:szCs w:val="24"/>
          <w:rtl w:val="0"/>
        </w:rPr>
        <w:t xml:space="preserve">This study controls for several factors that may affect earnings management. ROE presents profitability and is calculated as net income divided by total equity. SIZE represents firm size and is calculated as the natural logarithm of total assets. LEV represents financial leverage and is measured as total debt divided by total equity. AT represents asset turnover and is calculated as total sales divided by total assets. GROWTH represents the firm’s growth ability and is measured as the annual percentage change in sales. STATE_OWN is measured as the percentage of shares held by the state. FOREIGN_OWN is measured as the percentage of shares held by foreign investors. BIG4 is a dummy variable that takes the value of 1 if the firm is audited by a Big Four audit firm and 0 otherwise. AGE represents firm age and is calculated as the number of years since the firm’s establishment. LOSS is a dummy variable that equals 1 if the firm reports a loss during the year and 0 otherwise. MTB represents the market-to-book ratio and is calculated as the market value of equity divided by the book value of equity. IA represents information asymmetry and is measured as intangible assets divided by total assets.</w:t>
      </w:r>
    </w:p>
    <w:p w:rsidR="00000000" w:rsidDel="00000000" w:rsidP="00000000" w:rsidRDefault="00000000" w:rsidRPr="00000000" w14:paraId="0000004C">
      <w:pPr>
        <w:pStyle w:val="Heading2"/>
        <w:spacing w:after="120" w:line="288" w:lineRule="auto"/>
        <w:rPr>
          <w:sz w:val="24"/>
          <w:szCs w:val="24"/>
        </w:rPr>
      </w:pPr>
      <w:bookmarkStart w:colFirst="0" w:colLast="0" w:name="_heading=h.yxqcxw4hpzw7" w:id="10"/>
      <w:bookmarkEnd w:id="10"/>
      <w:r w:rsidDel="00000000" w:rsidR="00000000" w:rsidRPr="00000000">
        <w:rPr>
          <w:sz w:val="24"/>
          <w:szCs w:val="24"/>
          <w:rtl w:val="0"/>
        </w:rPr>
        <w:t xml:space="preserve">3.3. Sample data </w:t>
      </w:r>
    </w:p>
    <w:p w:rsidR="00000000" w:rsidDel="00000000" w:rsidP="00000000" w:rsidRDefault="00000000" w:rsidRPr="00000000" w14:paraId="0000004D">
      <w:pPr>
        <w:spacing w:after="120" w:line="288" w:lineRule="auto"/>
        <w:ind w:firstLine="426"/>
        <w:rPr>
          <w:sz w:val="24"/>
          <w:szCs w:val="24"/>
        </w:rPr>
      </w:pPr>
      <w:r w:rsidDel="00000000" w:rsidR="00000000" w:rsidRPr="00000000">
        <w:rPr>
          <w:sz w:val="24"/>
          <w:szCs w:val="24"/>
          <w:rtl w:val="0"/>
        </w:rPr>
        <w:t xml:space="preserve">Our study used FiinPro-X financial data from non-financial firms listed on Ho Chi Minh Stock Exchange (HOSE) and Hanoi Stock Exchange (HNX) from the period from 2015 to 2024. Data about independent audit, ownership structure and firm age is hand-collected from Vietstock. Firms with negative equity are excluded (namely HVN). Industry-year groups with less than 20 firms are also excluded. Abnormal values larger than 99th percentile and lower than 1st percentile are dropped. Observations with missing data are omitted. To obtain SDG score data, we first collect firms annual reports from their investor relation websites. Then we use our programming tool to translate all reports into English and capture the SDG score based on our trained model. Our final sample consists of 3,021 observations of 488 firms.</w:t>
      </w:r>
    </w:p>
    <w:p w:rsidR="00000000" w:rsidDel="00000000" w:rsidP="00000000" w:rsidRDefault="00000000" w:rsidRPr="00000000" w14:paraId="0000004E">
      <w:pPr>
        <w:pStyle w:val="Heading2"/>
        <w:spacing w:after="120" w:line="288" w:lineRule="auto"/>
        <w:rPr>
          <w:sz w:val="24"/>
          <w:szCs w:val="24"/>
        </w:rPr>
      </w:pPr>
      <w:bookmarkStart w:colFirst="0" w:colLast="0" w:name="_heading=h.6zidf6q5ndzf" w:id="11"/>
      <w:bookmarkEnd w:id="11"/>
      <w:r w:rsidDel="00000000" w:rsidR="00000000" w:rsidRPr="00000000">
        <w:rPr>
          <w:sz w:val="24"/>
          <w:szCs w:val="24"/>
          <w:rtl w:val="0"/>
        </w:rPr>
        <w:t xml:space="preserve">3.4. Regression method</w:t>
      </w:r>
    </w:p>
    <w:p w:rsidR="00000000" w:rsidDel="00000000" w:rsidP="00000000" w:rsidRDefault="00000000" w:rsidRPr="00000000" w14:paraId="0000004F">
      <w:pPr>
        <w:spacing w:after="120" w:line="288" w:lineRule="auto"/>
        <w:ind w:firstLine="426"/>
        <w:rPr>
          <w:sz w:val="24"/>
          <w:szCs w:val="24"/>
        </w:rPr>
      </w:pPr>
      <w:r w:rsidDel="00000000" w:rsidR="00000000" w:rsidRPr="00000000">
        <w:rPr>
          <w:sz w:val="24"/>
          <w:szCs w:val="24"/>
          <w:rtl w:val="0"/>
        </w:rPr>
        <w:t xml:space="preserve">This study constructs a linear regression model using the framework of the Ordinary Least Squares method to estimate the relationship between the dependent variable and explanatory variables.Pooled OLS is an appropriate model for this study, as it allows for a direct interpretation of the expected change in the dependent variable when the explanatory variable changes. Technically, coefficients are estimated by minimizing the sum of squared residuals, thereby obtaining a regression line with the smallest sum of squared deviations from the observed data (Stock &amp; Watson, 2020).</w:t>
      </w:r>
    </w:p>
    <w:p w:rsidR="00000000" w:rsidDel="00000000" w:rsidP="00000000" w:rsidRDefault="00000000" w:rsidRPr="00000000" w14:paraId="00000050">
      <w:pPr>
        <w:spacing w:after="120" w:line="288" w:lineRule="auto"/>
        <w:ind w:firstLine="426"/>
        <w:rPr>
          <w:sz w:val="24"/>
          <w:szCs w:val="24"/>
        </w:rPr>
      </w:pPr>
      <w:r w:rsidDel="00000000" w:rsidR="00000000" w:rsidRPr="00000000">
        <w:rPr>
          <w:sz w:val="24"/>
          <w:szCs w:val="24"/>
          <w:rtl w:val="0"/>
        </w:rPr>
        <w:t xml:space="preserve">Additionally, Stock &amp; Watson (2020) argue that when there are unobservable factors that are constant over time but vary across industries, and other factors that are similar across industries but fluctuate over time, thus including fixed effects by entity (industry) and fixed effects by time (year) in the model is appropriate. This approach helps absorb systematic differences between industries and macroeconomic shocks over time, thereby reducing bias due to omitted variables and improving the reliability of the estimate. Therefore, the regression model in this study is controlled for industry and year by including dummy variables into the equation. Specifically, the dummy variable controlling industry</w:t>
      </w:r>
      <w:r w:rsidDel="00000000" w:rsidR="00000000" w:rsidRPr="00000000">
        <w:rPr>
          <w:i w:val="1"/>
          <w:iCs w:val="1"/>
          <w:sz w:val="24"/>
          <w:szCs w:val="24"/>
          <w:rtl w:val="0"/>
        </w:rPr>
        <w:t xml:space="preserve"> </w:t>
      </w:r>
      <w:r w:rsidDel="00000000" w:rsidR="00000000" w:rsidRPr="00000000">
        <w:rPr>
          <w:sz w:val="24"/>
          <w:szCs w:val="24"/>
          <w:rtl w:val="0"/>
        </w:rPr>
        <w:t xml:space="preserve">i.indcode</w:t>
      </w:r>
      <w:r w:rsidDel="00000000" w:rsidR="00000000" w:rsidRPr="00000000">
        <w:rPr>
          <w:i w:val="1"/>
          <w:iCs w:val="1"/>
          <w:sz w:val="24"/>
          <w:szCs w:val="24"/>
          <w:rtl w:val="0"/>
        </w:rPr>
        <w:t xml:space="preserve"> </w:t>
      </w:r>
      <w:r w:rsidDel="00000000" w:rsidR="00000000" w:rsidRPr="00000000">
        <w:rPr>
          <w:sz w:val="24"/>
          <w:szCs w:val="24"/>
          <w:rtl w:val="0"/>
        </w:rPr>
        <w:t xml:space="preserve">takes the value 1 if company i belongs to industry j and 0 otherwise. Similarly, the dummy variable year i.year takes the value 1 if the observation belongs to year t and 0 otherwise. </w:t>
      </w:r>
    </w:p>
    <w:p w:rsidR="00000000" w:rsidDel="00000000" w:rsidP="00000000" w:rsidRDefault="00000000" w:rsidRPr="00000000" w14:paraId="00000051">
      <w:pPr>
        <w:pStyle w:val="Heading1"/>
        <w:spacing w:after="120" w:line="288" w:lineRule="auto"/>
        <w:rPr>
          <w:sz w:val="24"/>
          <w:szCs w:val="24"/>
        </w:rPr>
      </w:pPr>
      <w:bookmarkStart w:colFirst="0" w:colLast="0" w:name="_heading=h.5f2kov51ohcg" w:id="12"/>
      <w:bookmarkEnd w:id="12"/>
      <w:r w:rsidDel="00000000" w:rsidR="00000000" w:rsidRPr="00000000">
        <w:rPr>
          <w:sz w:val="24"/>
          <w:szCs w:val="24"/>
          <w:rtl w:val="0"/>
        </w:rPr>
        <w:t xml:space="preserve">4. Research Results and Discussion</w:t>
      </w:r>
    </w:p>
    <w:p w:rsidR="00000000" w:rsidDel="00000000" w:rsidP="00000000" w:rsidRDefault="00000000" w:rsidRPr="00000000" w14:paraId="00000052">
      <w:pPr>
        <w:pStyle w:val="Heading2"/>
        <w:spacing w:after="120" w:line="288" w:lineRule="auto"/>
        <w:rPr>
          <w:sz w:val="24"/>
          <w:szCs w:val="24"/>
        </w:rPr>
      </w:pPr>
      <w:bookmarkStart w:colFirst="0" w:colLast="0" w:name="_heading=h.8nzl93g3455r" w:id="13"/>
      <w:bookmarkEnd w:id="13"/>
      <w:r w:rsidDel="00000000" w:rsidR="00000000" w:rsidRPr="00000000">
        <w:rPr>
          <w:sz w:val="24"/>
          <w:szCs w:val="24"/>
          <w:rtl w:val="0"/>
        </w:rPr>
        <w:t xml:space="preserve">4.1. Descriptive statistics</w:t>
      </w:r>
    </w:p>
    <w:p w:rsidR="00000000" w:rsidDel="00000000" w:rsidP="00000000" w:rsidRDefault="00000000" w:rsidRPr="00000000" w14:paraId="00000053">
      <w:pPr>
        <w:spacing w:after="120" w:line="288" w:lineRule="auto"/>
        <w:jc w:val="left"/>
        <w:rPr>
          <w:sz w:val="24"/>
          <w:szCs w:val="24"/>
        </w:rPr>
      </w:pPr>
      <w:r w:rsidDel="00000000" w:rsidR="00000000" w:rsidRPr="00000000">
        <w:rPr>
          <w:sz w:val="24"/>
          <w:szCs w:val="24"/>
          <w:rtl w:val="0"/>
        </w:rPr>
        <w:t xml:space="preserve">Table 1. Descriptive statistics</w:t>
      </w:r>
    </w:p>
    <w:p w:rsidR="00000000" w:rsidDel="00000000" w:rsidP="00000000" w:rsidRDefault="00000000" w:rsidRPr="00000000" w14:paraId="00000054">
      <w:pPr>
        <w:spacing w:after="120" w:line="288" w:lineRule="auto"/>
        <w:jc w:val="left"/>
        <w:rPr>
          <w:i w:val="1"/>
          <w:iCs w:val="1"/>
          <w:sz w:val="24"/>
          <w:szCs w:val="24"/>
        </w:rPr>
      </w:pPr>
      <w:r w:rsidDel="00000000" w:rsidR="00000000" w:rsidRPr="00000000">
        <w:rPr>
          <w:i w:val="1"/>
          <w:iCs w:val="1"/>
          <w:sz w:val="24"/>
          <w:szCs w:val="24"/>
          <w:rtl w:val="0"/>
        </w:rPr>
        <w:t xml:space="preserve">Source: The authors (2026)</w:t>
      </w:r>
    </w:p>
    <w:tbl>
      <w:tblPr>
        <w:tblStyle w:val="Table2"/>
        <w:tblW w:w="7080.999999999999" w:type="dxa"/>
        <w:jc w:val="center"/>
        <w:tblLayout w:type="fixed"/>
        <w:tblLook w:val="0400"/>
      </w:tblPr>
      <w:tblGrid>
        <w:gridCol w:w="1819"/>
        <w:gridCol w:w="725"/>
        <w:gridCol w:w="835"/>
        <w:gridCol w:w="952"/>
        <w:gridCol w:w="1080"/>
        <w:gridCol w:w="835"/>
        <w:gridCol w:w="835"/>
        <w:tblGridChange w:id="0">
          <w:tblGrid>
            <w:gridCol w:w="1819"/>
            <w:gridCol w:w="725"/>
            <w:gridCol w:w="835"/>
            <w:gridCol w:w="952"/>
            <w:gridCol w:w="1080"/>
            <w:gridCol w:w="835"/>
            <w:gridCol w:w="835"/>
          </w:tblGrid>
        </w:tblGridChange>
      </w:tblGrid>
      <w:tr>
        <w:trPr>
          <w:cantSplit w:val="0"/>
          <w:trHeight w:val="315" w:hRule="atLeast"/>
          <w:tblHeader w:val="0"/>
        </w:trPr>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55">
            <w:pPr>
              <w:spacing w:line="240" w:lineRule="auto"/>
              <w:rPr>
                <w:b w:val="1"/>
                <w:bCs w:val="1"/>
              </w:rPr>
            </w:pPr>
            <w:r w:rsidDel="00000000" w:rsidR="00000000" w:rsidRPr="00000000">
              <w:rPr>
                <w:b w:val="1"/>
                <w:bCs w:val="1"/>
                <w:rtl w:val="0"/>
              </w:rPr>
              <w:t xml:space="preserve">Variables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6">
            <w:pPr>
              <w:spacing w:line="240" w:lineRule="auto"/>
              <w:jc w:val="center"/>
              <w:rPr>
                <w:b w:val="1"/>
                <w:bCs w:val="1"/>
              </w:rPr>
            </w:pPr>
            <w:r w:rsidDel="00000000" w:rsidR="00000000" w:rsidRPr="00000000">
              <w:rPr>
                <w:b w:val="1"/>
                <w:bCs w:val="1"/>
                <w:rtl w:val="0"/>
              </w:rPr>
              <w:t xml:space="preserve">Obs.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7">
            <w:pPr>
              <w:spacing w:line="240" w:lineRule="auto"/>
              <w:jc w:val="center"/>
              <w:rPr>
                <w:b w:val="1"/>
                <w:bCs w:val="1"/>
              </w:rPr>
            </w:pPr>
            <w:r w:rsidDel="00000000" w:rsidR="00000000" w:rsidRPr="00000000">
              <w:rPr>
                <w:b w:val="1"/>
                <w:bCs w:val="1"/>
                <w:rtl w:val="0"/>
              </w:rPr>
              <w:t xml:space="preserve">Mean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8">
            <w:pPr>
              <w:spacing w:line="240" w:lineRule="auto"/>
              <w:jc w:val="center"/>
              <w:rPr>
                <w:b w:val="1"/>
                <w:bCs w:val="1"/>
              </w:rPr>
            </w:pPr>
            <w:r w:rsidDel="00000000" w:rsidR="00000000" w:rsidRPr="00000000">
              <w:rPr>
                <w:b w:val="1"/>
                <w:bCs w:val="1"/>
                <w:rtl w:val="0"/>
              </w:rPr>
              <w:t xml:space="preserve">Median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9">
            <w:pPr>
              <w:spacing w:line="240" w:lineRule="auto"/>
              <w:jc w:val="center"/>
              <w:rPr>
                <w:b w:val="1"/>
                <w:bCs w:val="1"/>
              </w:rPr>
            </w:pPr>
            <w:r w:rsidDel="00000000" w:rsidR="00000000" w:rsidRPr="00000000">
              <w:rPr>
                <w:b w:val="1"/>
                <w:bCs w:val="1"/>
                <w:rtl w:val="0"/>
              </w:rPr>
              <w:t xml:space="preserve">Std. Dev.</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A">
            <w:pPr>
              <w:spacing w:line="240" w:lineRule="auto"/>
              <w:jc w:val="center"/>
              <w:rPr>
                <w:b w:val="1"/>
                <w:bCs w:val="1"/>
              </w:rPr>
            </w:pPr>
            <w:r w:rsidDel="00000000" w:rsidR="00000000" w:rsidRPr="00000000">
              <w:rPr>
                <w:b w:val="1"/>
                <w:bCs w:val="1"/>
                <w:rtl w:val="0"/>
              </w:rPr>
              <w:t xml:space="preserve">Min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B">
            <w:pPr>
              <w:spacing w:line="240" w:lineRule="auto"/>
              <w:jc w:val="center"/>
              <w:rPr>
                <w:b w:val="1"/>
                <w:bCs w:val="1"/>
              </w:rPr>
            </w:pPr>
            <w:r w:rsidDel="00000000" w:rsidR="00000000" w:rsidRPr="00000000">
              <w:rPr>
                <w:b w:val="1"/>
                <w:bCs w:val="1"/>
                <w:rtl w:val="0"/>
              </w:rPr>
              <w:t xml:space="preserve">Max</w:t>
            </w:r>
          </w:p>
        </w:tc>
      </w:tr>
      <w:tr>
        <w:trPr>
          <w:cantSplit w:val="0"/>
          <w:trHeight w:val="308" w:hRule="atLeast"/>
          <w:tblHeader w:val="0"/>
        </w:trPr>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5C">
            <w:pPr>
              <w:spacing w:line="240" w:lineRule="auto"/>
              <w:rPr/>
            </w:pPr>
            <w:r w:rsidDel="00000000" w:rsidR="00000000" w:rsidRPr="00000000">
              <w:rPr>
                <w:rtl w:val="0"/>
              </w:rPr>
              <w:t xml:space="preserve">AEM</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5D">
            <w:pPr>
              <w:spacing w:line="240" w:lineRule="auto"/>
              <w:jc w:val="right"/>
              <w:rPr/>
            </w:pPr>
            <w:r w:rsidDel="00000000" w:rsidR="00000000" w:rsidRPr="00000000">
              <w:rPr>
                <w:rtl w:val="0"/>
              </w:rPr>
              <w:t xml:space="preserve">3,021</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5E">
            <w:pPr>
              <w:spacing w:line="240" w:lineRule="auto"/>
              <w:jc w:val="right"/>
              <w:rPr/>
            </w:pPr>
            <w:r w:rsidDel="00000000" w:rsidR="00000000" w:rsidRPr="00000000">
              <w:rPr>
                <w:rtl w:val="0"/>
              </w:rPr>
              <w:t xml:space="preserve">0.037</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5F">
            <w:pPr>
              <w:spacing w:line="240" w:lineRule="auto"/>
              <w:jc w:val="right"/>
              <w:rPr/>
            </w:pPr>
            <w:r w:rsidDel="00000000" w:rsidR="00000000" w:rsidRPr="00000000">
              <w:rPr>
                <w:rtl w:val="0"/>
              </w:rPr>
              <w:t xml:space="preserve">0.029</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60">
            <w:pPr>
              <w:spacing w:line="240" w:lineRule="auto"/>
              <w:jc w:val="right"/>
              <w:rPr/>
            </w:pPr>
            <w:r w:rsidDel="00000000" w:rsidR="00000000" w:rsidRPr="00000000">
              <w:rPr>
                <w:rtl w:val="0"/>
              </w:rPr>
              <w:t xml:space="preserve">0.033</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61">
            <w:pPr>
              <w:spacing w:line="240" w:lineRule="auto"/>
              <w:jc w:val="right"/>
              <w:rPr/>
            </w:pPr>
            <w:r w:rsidDel="00000000" w:rsidR="00000000" w:rsidRPr="00000000">
              <w:rPr>
                <w:rtl w:val="0"/>
              </w:rPr>
              <w:t xml:space="preserve">0.000</w:t>
            </w:r>
          </w:p>
        </w:tc>
        <w:tc>
          <w:tcPr>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062">
            <w:pPr>
              <w:spacing w:line="240" w:lineRule="auto"/>
              <w:jc w:val="right"/>
              <w:rPr/>
            </w:pPr>
            <w:r w:rsidDel="00000000" w:rsidR="00000000" w:rsidRPr="00000000">
              <w:rPr>
                <w:rtl w:val="0"/>
              </w:rPr>
              <w:t xml:space="preserve">0.256</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3">
            <w:pPr>
              <w:spacing w:line="240" w:lineRule="auto"/>
              <w:rPr/>
            </w:pPr>
            <w:r w:rsidDel="00000000" w:rsidR="00000000" w:rsidRPr="00000000">
              <w:rPr>
                <w:rtl w:val="0"/>
              </w:rPr>
              <w:t xml:space="preserve">SDG</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4">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5">
            <w:pPr>
              <w:spacing w:line="240" w:lineRule="auto"/>
              <w:jc w:val="right"/>
              <w:rPr/>
            </w:pPr>
            <w:r w:rsidDel="00000000" w:rsidR="00000000" w:rsidRPr="00000000">
              <w:rPr>
                <w:rtl w:val="0"/>
              </w:rPr>
              <w:t xml:space="preserve">0.362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6">
            <w:pPr>
              <w:spacing w:line="240" w:lineRule="auto"/>
              <w:jc w:val="right"/>
              <w:rPr/>
            </w:pPr>
            <w:r w:rsidDel="00000000" w:rsidR="00000000" w:rsidRPr="00000000">
              <w:rPr>
                <w:rtl w:val="0"/>
              </w:rPr>
              <w:t xml:space="preserve">0.353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7">
            <w:pPr>
              <w:spacing w:line="240" w:lineRule="auto"/>
              <w:jc w:val="right"/>
              <w:rPr/>
            </w:pPr>
            <w:r w:rsidDel="00000000" w:rsidR="00000000" w:rsidRPr="00000000">
              <w:rPr>
                <w:rtl w:val="0"/>
              </w:rPr>
              <w:t xml:space="preserve">0.182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8">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9">
            <w:pPr>
              <w:spacing w:line="240" w:lineRule="auto"/>
              <w:jc w:val="right"/>
              <w:rPr/>
            </w:pPr>
            <w:r w:rsidDel="00000000" w:rsidR="00000000" w:rsidRPr="00000000">
              <w:rPr>
                <w:rtl w:val="0"/>
              </w:rPr>
              <w:t xml:space="preserve">0.941</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A">
            <w:pPr>
              <w:spacing w:line="240" w:lineRule="auto"/>
              <w:rPr/>
            </w:pPr>
            <w:r w:rsidDel="00000000" w:rsidR="00000000" w:rsidRPr="00000000">
              <w:rPr>
                <w:rtl w:val="0"/>
              </w:rPr>
              <w:t xml:space="preserve">ROE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B">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C">
            <w:pPr>
              <w:spacing w:line="240" w:lineRule="auto"/>
              <w:jc w:val="right"/>
              <w:rPr/>
            </w:pPr>
            <w:r w:rsidDel="00000000" w:rsidR="00000000" w:rsidRPr="00000000">
              <w:rPr>
                <w:rtl w:val="0"/>
              </w:rPr>
              <w:t xml:space="preserve">0.121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D">
            <w:pPr>
              <w:spacing w:line="240" w:lineRule="auto"/>
              <w:jc w:val="right"/>
              <w:rPr/>
            </w:pPr>
            <w:r w:rsidDel="00000000" w:rsidR="00000000" w:rsidRPr="00000000">
              <w:rPr>
                <w:rtl w:val="0"/>
              </w:rPr>
              <w:t xml:space="preserve">0.106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E">
            <w:pPr>
              <w:spacing w:line="240" w:lineRule="auto"/>
              <w:jc w:val="right"/>
              <w:rPr/>
            </w:pPr>
            <w:r w:rsidDel="00000000" w:rsidR="00000000" w:rsidRPr="00000000">
              <w:rPr>
                <w:rtl w:val="0"/>
              </w:rPr>
              <w:t xml:space="preserve">0.107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F">
            <w:pPr>
              <w:spacing w:line="240" w:lineRule="auto"/>
              <w:jc w:val="right"/>
              <w:rPr/>
            </w:pPr>
            <w:r w:rsidDel="00000000" w:rsidR="00000000" w:rsidRPr="00000000">
              <w:rPr>
                <w:rtl w:val="0"/>
              </w:rPr>
              <w:t xml:space="preserve">-0.408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0">
            <w:pPr>
              <w:spacing w:line="240" w:lineRule="auto"/>
              <w:jc w:val="right"/>
              <w:rPr/>
            </w:pPr>
            <w:r w:rsidDel="00000000" w:rsidR="00000000" w:rsidRPr="00000000">
              <w:rPr>
                <w:rtl w:val="0"/>
              </w:rPr>
              <w:t xml:space="preserve">0.824</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1">
            <w:pPr>
              <w:spacing w:line="240" w:lineRule="auto"/>
              <w:rPr/>
            </w:pPr>
            <w:r w:rsidDel="00000000" w:rsidR="00000000" w:rsidRPr="00000000">
              <w:rPr>
                <w:rtl w:val="0"/>
              </w:rPr>
              <w:t xml:space="preserve">SIZE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2">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3">
            <w:pPr>
              <w:spacing w:line="240" w:lineRule="auto"/>
              <w:jc w:val="right"/>
              <w:rPr/>
            </w:pPr>
            <w:r w:rsidDel="00000000" w:rsidR="00000000" w:rsidRPr="00000000">
              <w:rPr>
                <w:rtl w:val="0"/>
              </w:rPr>
              <w:t xml:space="preserve">27.527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4">
            <w:pPr>
              <w:spacing w:line="240" w:lineRule="auto"/>
              <w:jc w:val="right"/>
              <w:rPr/>
            </w:pPr>
            <w:r w:rsidDel="00000000" w:rsidR="00000000" w:rsidRPr="00000000">
              <w:rPr>
                <w:rtl w:val="0"/>
              </w:rPr>
              <w:t xml:space="preserve">27.469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5">
            <w:pPr>
              <w:spacing w:line="240" w:lineRule="auto"/>
              <w:jc w:val="right"/>
              <w:rPr/>
            </w:pPr>
            <w:r w:rsidDel="00000000" w:rsidR="00000000" w:rsidRPr="00000000">
              <w:rPr>
                <w:rtl w:val="0"/>
              </w:rPr>
              <w:t xml:space="preserve">1.493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6">
            <w:pPr>
              <w:spacing w:line="240" w:lineRule="auto"/>
              <w:jc w:val="right"/>
              <w:rPr/>
            </w:pPr>
            <w:r w:rsidDel="00000000" w:rsidR="00000000" w:rsidRPr="00000000">
              <w:rPr>
                <w:rtl w:val="0"/>
              </w:rPr>
              <w:t xml:space="preserve">23.903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7">
            <w:pPr>
              <w:spacing w:line="240" w:lineRule="auto"/>
              <w:jc w:val="right"/>
              <w:rPr/>
            </w:pPr>
            <w:r w:rsidDel="00000000" w:rsidR="00000000" w:rsidRPr="00000000">
              <w:rPr>
                <w:rtl w:val="0"/>
              </w:rPr>
              <w:t xml:space="preserve">33.045</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8">
            <w:pPr>
              <w:spacing w:line="240" w:lineRule="auto"/>
              <w:rPr/>
            </w:pPr>
            <w:r w:rsidDel="00000000" w:rsidR="00000000" w:rsidRPr="00000000">
              <w:rPr>
                <w:rtl w:val="0"/>
              </w:rPr>
              <w:t xml:space="preserve">LEV</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9">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A">
            <w:pPr>
              <w:spacing w:line="240" w:lineRule="auto"/>
              <w:jc w:val="right"/>
              <w:rPr/>
            </w:pPr>
            <w:r w:rsidDel="00000000" w:rsidR="00000000" w:rsidRPr="00000000">
              <w:rPr>
                <w:rtl w:val="0"/>
              </w:rPr>
              <w:t xml:space="preserve">0.620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B">
            <w:pPr>
              <w:spacing w:line="240" w:lineRule="auto"/>
              <w:jc w:val="right"/>
              <w:rPr/>
            </w:pPr>
            <w:r w:rsidDel="00000000" w:rsidR="00000000" w:rsidRPr="00000000">
              <w:rPr>
                <w:rtl w:val="0"/>
              </w:rPr>
              <w:t xml:space="preserve">0.357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C">
            <w:pPr>
              <w:spacing w:line="240" w:lineRule="auto"/>
              <w:jc w:val="right"/>
              <w:rPr/>
            </w:pPr>
            <w:r w:rsidDel="00000000" w:rsidR="00000000" w:rsidRPr="00000000">
              <w:rPr>
                <w:rtl w:val="0"/>
              </w:rPr>
              <w:t xml:space="preserve">0.722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D">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E">
            <w:pPr>
              <w:spacing w:line="240" w:lineRule="auto"/>
              <w:jc w:val="right"/>
              <w:rPr/>
            </w:pPr>
            <w:r w:rsidDel="00000000" w:rsidR="00000000" w:rsidRPr="00000000">
              <w:rPr>
                <w:rtl w:val="0"/>
              </w:rPr>
              <w:t xml:space="preserve">4.205</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F">
            <w:pPr>
              <w:spacing w:line="240" w:lineRule="auto"/>
              <w:rPr/>
            </w:pPr>
            <w:r w:rsidDel="00000000" w:rsidR="00000000" w:rsidRPr="00000000">
              <w:rPr>
                <w:rtl w:val="0"/>
              </w:rPr>
              <w:t xml:space="preserve">AT</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0">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1">
            <w:pPr>
              <w:spacing w:line="240" w:lineRule="auto"/>
              <w:jc w:val="right"/>
              <w:rPr/>
            </w:pPr>
            <w:r w:rsidDel="00000000" w:rsidR="00000000" w:rsidRPr="00000000">
              <w:rPr>
                <w:rtl w:val="0"/>
              </w:rPr>
              <w:t xml:space="preserve">1.241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2">
            <w:pPr>
              <w:spacing w:line="240" w:lineRule="auto"/>
              <w:jc w:val="right"/>
              <w:rPr/>
            </w:pPr>
            <w:r w:rsidDel="00000000" w:rsidR="00000000" w:rsidRPr="00000000">
              <w:rPr>
                <w:rtl w:val="0"/>
              </w:rPr>
              <w:t xml:space="preserve">1.020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3">
            <w:pPr>
              <w:spacing w:line="240" w:lineRule="auto"/>
              <w:jc w:val="right"/>
              <w:rPr/>
            </w:pPr>
            <w:r w:rsidDel="00000000" w:rsidR="00000000" w:rsidRPr="00000000">
              <w:rPr>
                <w:rtl w:val="0"/>
              </w:rPr>
              <w:t xml:space="preserve">0.989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4">
            <w:pPr>
              <w:spacing w:line="240" w:lineRule="auto"/>
              <w:jc w:val="right"/>
              <w:rPr/>
            </w:pPr>
            <w:r w:rsidDel="00000000" w:rsidR="00000000" w:rsidRPr="00000000">
              <w:rPr>
                <w:rtl w:val="0"/>
              </w:rPr>
              <w:t xml:space="preserve">0.060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5">
            <w:pPr>
              <w:spacing w:line="240" w:lineRule="auto"/>
              <w:jc w:val="right"/>
              <w:rPr/>
            </w:pPr>
            <w:r w:rsidDel="00000000" w:rsidR="00000000" w:rsidRPr="00000000">
              <w:rPr>
                <w:rtl w:val="0"/>
              </w:rPr>
              <w:t xml:space="preserve">8.920</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6">
            <w:pPr>
              <w:spacing w:line="240" w:lineRule="auto"/>
              <w:rPr/>
            </w:pPr>
            <w:r w:rsidDel="00000000" w:rsidR="00000000" w:rsidRPr="00000000">
              <w:rPr>
                <w:rtl w:val="0"/>
              </w:rPr>
              <w:t xml:space="preserve">GROWTH</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7">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8">
            <w:pPr>
              <w:spacing w:line="240" w:lineRule="auto"/>
              <w:jc w:val="right"/>
              <w:rPr/>
            </w:pPr>
            <w:r w:rsidDel="00000000" w:rsidR="00000000" w:rsidRPr="00000000">
              <w:rPr>
                <w:rtl w:val="0"/>
              </w:rPr>
              <w:t xml:space="preserve">0.066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9">
            <w:pPr>
              <w:spacing w:line="240" w:lineRule="auto"/>
              <w:jc w:val="right"/>
              <w:rPr/>
            </w:pPr>
            <w:r w:rsidDel="00000000" w:rsidR="00000000" w:rsidRPr="00000000">
              <w:rPr>
                <w:rtl w:val="0"/>
              </w:rPr>
              <w:t xml:space="preserve">0.055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A">
            <w:pPr>
              <w:spacing w:line="240" w:lineRule="auto"/>
              <w:jc w:val="right"/>
              <w:rPr/>
            </w:pPr>
            <w:r w:rsidDel="00000000" w:rsidR="00000000" w:rsidRPr="00000000">
              <w:rPr>
                <w:rtl w:val="0"/>
              </w:rPr>
              <w:t xml:space="preserve">0.167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B">
            <w:pPr>
              <w:spacing w:line="240" w:lineRule="auto"/>
              <w:jc w:val="right"/>
              <w:rPr/>
            </w:pPr>
            <w:r w:rsidDel="00000000" w:rsidR="00000000" w:rsidRPr="00000000">
              <w:rPr>
                <w:rtl w:val="0"/>
              </w:rPr>
              <w:t xml:space="preserve">-0.512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C">
            <w:pPr>
              <w:spacing w:line="240" w:lineRule="auto"/>
              <w:jc w:val="right"/>
              <w:rPr/>
            </w:pPr>
            <w:r w:rsidDel="00000000" w:rsidR="00000000" w:rsidRPr="00000000">
              <w:rPr>
                <w:rtl w:val="0"/>
              </w:rPr>
              <w:t xml:space="preserve">0.964</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D">
            <w:pPr>
              <w:spacing w:line="240" w:lineRule="auto"/>
              <w:rPr/>
            </w:pPr>
            <w:r w:rsidDel="00000000" w:rsidR="00000000" w:rsidRPr="00000000">
              <w:rPr>
                <w:rtl w:val="0"/>
              </w:rPr>
              <w:t xml:space="preserve">STATE_OWN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E">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F">
            <w:pPr>
              <w:spacing w:line="240" w:lineRule="auto"/>
              <w:jc w:val="right"/>
              <w:rPr/>
            </w:pPr>
            <w:r w:rsidDel="00000000" w:rsidR="00000000" w:rsidRPr="00000000">
              <w:rPr>
                <w:rtl w:val="0"/>
              </w:rPr>
              <w:t xml:space="preserve">0.147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0">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1">
            <w:pPr>
              <w:spacing w:line="240" w:lineRule="auto"/>
              <w:jc w:val="right"/>
              <w:rPr/>
            </w:pPr>
            <w:r w:rsidDel="00000000" w:rsidR="00000000" w:rsidRPr="00000000">
              <w:rPr>
                <w:rtl w:val="0"/>
              </w:rPr>
              <w:t xml:space="preserve">0.242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2">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3">
            <w:pPr>
              <w:spacing w:line="240" w:lineRule="auto"/>
              <w:jc w:val="right"/>
              <w:rPr/>
            </w:pPr>
            <w:r w:rsidDel="00000000" w:rsidR="00000000" w:rsidRPr="00000000">
              <w:rPr>
                <w:rtl w:val="0"/>
              </w:rPr>
              <w:t xml:space="preserve">0.993</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4">
            <w:pPr>
              <w:spacing w:line="240" w:lineRule="auto"/>
              <w:rPr/>
            </w:pPr>
            <w:r w:rsidDel="00000000" w:rsidR="00000000" w:rsidRPr="00000000">
              <w:rPr>
                <w:rtl w:val="0"/>
              </w:rPr>
              <w:t xml:space="preserve">FOREIGN_OWN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5">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6">
            <w:pPr>
              <w:spacing w:line="240" w:lineRule="auto"/>
              <w:jc w:val="right"/>
              <w:rPr/>
            </w:pPr>
            <w:r w:rsidDel="00000000" w:rsidR="00000000" w:rsidRPr="00000000">
              <w:rPr>
                <w:rtl w:val="0"/>
              </w:rPr>
              <w:t xml:space="preserve">0.044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7">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8">
            <w:pPr>
              <w:spacing w:line="240" w:lineRule="auto"/>
              <w:jc w:val="right"/>
              <w:rPr/>
            </w:pPr>
            <w:r w:rsidDel="00000000" w:rsidR="00000000" w:rsidRPr="00000000">
              <w:rPr>
                <w:rtl w:val="0"/>
              </w:rPr>
              <w:t xml:space="preserve">0.112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9">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A">
            <w:pPr>
              <w:spacing w:line="240" w:lineRule="auto"/>
              <w:jc w:val="right"/>
              <w:rPr/>
            </w:pPr>
            <w:r w:rsidDel="00000000" w:rsidR="00000000" w:rsidRPr="00000000">
              <w:rPr>
                <w:rtl w:val="0"/>
              </w:rPr>
              <w:t xml:space="preserve">0.950</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B">
            <w:pPr>
              <w:spacing w:line="240" w:lineRule="auto"/>
              <w:rPr/>
            </w:pPr>
            <w:r w:rsidDel="00000000" w:rsidR="00000000" w:rsidRPr="00000000">
              <w:rPr>
                <w:rtl w:val="0"/>
              </w:rPr>
              <w:t xml:space="preserve">BIG4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C">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D">
            <w:pPr>
              <w:spacing w:line="240" w:lineRule="auto"/>
              <w:jc w:val="right"/>
              <w:rPr/>
            </w:pPr>
            <w:r w:rsidDel="00000000" w:rsidR="00000000" w:rsidRPr="00000000">
              <w:rPr>
                <w:rtl w:val="0"/>
              </w:rPr>
              <w:t xml:space="preserve">0.259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E">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F">
            <w:pPr>
              <w:spacing w:line="240" w:lineRule="auto"/>
              <w:jc w:val="right"/>
              <w:rPr/>
            </w:pPr>
            <w:r w:rsidDel="00000000" w:rsidR="00000000" w:rsidRPr="00000000">
              <w:rPr>
                <w:rtl w:val="0"/>
              </w:rPr>
              <w:t xml:space="preserve">0.438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0">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1">
            <w:pPr>
              <w:spacing w:line="240" w:lineRule="auto"/>
              <w:jc w:val="right"/>
              <w:rPr/>
            </w:pPr>
            <w:r w:rsidDel="00000000" w:rsidR="00000000" w:rsidRPr="00000000">
              <w:rPr>
                <w:rtl w:val="0"/>
              </w:rPr>
              <w:t xml:space="preserve">1.000</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2">
            <w:pPr>
              <w:spacing w:line="240" w:lineRule="auto"/>
              <w:rPr/>
            </w:pPr>
            <w:r w:rsidDel="00000000" w:rsidR="00000000" w:rsidRPr="00000000">
              <w:rPr>
                <w:rtl w:val="0"/>
              </w:rPr>
              <w:t xml:space="preserve">AGE</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3">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4">
            <w:pPr>
              <w:spacing w:line="240" w:lineRule="auto"/>
              <w:jc w:val="right"/>
              <w:rPr/>
            </w:pPr>
            <w:r w:rsidDel="00000000" w:rsidR="00000000" w:rsidRPr="00000000">
              <w:rPr>
                <w:rtl w:val="0"/>
              </w:rPr>
              <w:t xml:space="preserve">2.157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5">
            <w:pPr>
              <w:spacing w:line="240" w:lineRule="auto"/>
              <w:jc w:val="right"/>
              <w:rPr/>
            </w:pPr>
            <w:r w:rsidDel="00000000" w:rsidR="00000000" w:rsidRPr="00000000">
              <w:rPr>
                <w:rtl w:val="0"/>
              </w:rPr>
              <w:t xml:space="preserve">2.303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6">
            <w:pPr>
              <w:spacing w:line="240" w:lineRule="auto"/>
              <w:jc w:val="right"/>
              <w:rPr/>
            </w:pPr>
            <w:r w:rsidDel="00000000" w:rsidR="00000000" w:rsidRPr="00000000">
              <w:rPr>
                <w:rtl w:val="0"/>
              </w:rPr>
              <w:t xml:space="preserve">0.646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7">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8">
            <w:pPr>
              <w:spacing w:line="240" w:lineRule="auto"/>
              <w:jc w:val="right"/>
              <w:rPr/>
            </w:pPr>
            <w:r w:rsidDel="00000000" w:rsidR="00000000" w:rsidRPr="00000000">
              <w:rPr>
                <w:rtl w:val="0"/>
              </w:rPr>
              <w:t xml:space="preserve">4.820</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9">
            <w:pPr>
              <w:spacing w:line="240" w:lineRule="auto"/>
              <w:rPr/>
            </w:pPr>
            <w:r w:rsidDel="00000000" w:rsidR="00000000" w:rsidRPr="00000000">
              <w:rPr>
                <w:rtl w:val="0"/>
              </w:rPr>
              <w:t xml:space="preserve">LOSS</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A">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B">
            <w:pPr>
              <w:spacing w:line="240" w:lineRule="auto"/>
              <w:jc w:val="right"/>
              <w:rPr/>
            </w:pPr>
            <w:r w:rsidDel="00000000" w:rsidR="00000000" w:rsidRPr="00000000">
              <w:rPr>
                <w:rtl w:val="0"/>
              </w:rPr>
              <w:t xml:space="preserve">0.036</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C">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D">
            <w:pPr>
              <w:spacing w:line="240" w:lineRule="auto"/>
              <w:jc w:val="right"/>
              <w:rPr/>
            </w:pPr>
            <w:r w:rsidDel="00000000" w:rsidR="00000000" w:rsidRPr="00000000">
              <w:rPr>
                <w:rtl w:val="0"/>
              </w:rPr>
              <w:t xml:space="preserve">0.187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E">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F">
            <w:pPr>
              <w:spacing w:line="240" w:lineRule="auto"/>
              <w:jc w:val="right"/>
              <w:rPr/>
            </w:pPr>
            <w:r w:rsidDel="00000000" w:rsidR="00000000" w:rsidRPr="00000000">
              <w:rPr>
                <w:rtl w:val="0"/>
              </w:rPr>
              <w:t xml:space="preserve">1.000</w:t>
            </w:r>
          </w:p>
        </w:tc>
      </w:tr>
      <w:tr>
        <w:trPr>
          <w:cantSplit w:val="0"/>
          <w:trHeight w:val="30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0">
            <w:pPr>
              <w:spacing w:line="240" w:lineRule="auto"/>
              <w:rPr/>
            </w:pPr>
            <w:r w:rsidDel="00000000" w:rsidR="00000000" w:rsidRPr="00000000">
              <w:rPr>
                <w:rtl w:val="0"/>
              </w:rPr>
              <w:t xml:space="preserve">MTB</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1">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2">
            <w:pPr>
              <w:spacing w:line="240" w:lineRule="auto"/>
              <w:jc w:val="right"/>
              <w:rPr/>
            </w:pPr>
            <w:r w:rsidDel="00000000" w:rsidR="00000000" w:rsidRPr="00000000">
              <w:rPr>
                <w:rtl w:val="0"/>
              </w:rPr>
              <w:t xml:space="preserve">1.350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3">
            <w:pPr>
              <w:spacing w:line="240" w:lineRule="auto"/>
              <w:jc w:val="right"/>
              <w:rPr/>
            </w:pPr>
            <w:r w:rsidDel="00000000" w:rsidR="00000000" w:rsidRPr="00000000">
              <w:rPr>
                <w:rtl w:val="0"/>
              </w:rPr>
              <w:t xml:space="preserve">1.010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4">
            <w:pPr>
              <w:spacing w:line="240" w:lineRule="auto"/>
              <w:jc w:val="right"/>
              <w:rPr/>
            </w:pPr>
            <w:r w:rsidDel="00000000" w:rsidR="00000000" w:rsidRPr="00000000">
              <w:rPr>
                <w:rtl w:val="0"/>
              </w:rPr>
              <w:t xml:space="preserve">1.379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5">
            <w:pPr>
              <w:spacing w:line="240" w:lineRule="auto"/>
              <w:jc w:val="right"/>
              <w:rPr/>
            </w:pPr>
            <w:r w:rsidDel="00000000" w:rsidR="00000000" w:rsidRPr="00000000">
              <w:rPr>
                <w:rtl w:val="0"/>
              </w:rPr>
              <w:t xml:space="preserve">0.120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6">
            <w:pPr>
              <w:spacing w:line="240" w:lineRule="auto"/>
              <w:jc w:val="right"/>
              <w:rPr/>
            </w:pPr>
            <w:r w:rsidDel="00000000" w:rsidR="00000000" w:rsidRPr="00000000">
              <w:rPr>
                <w:rtl w:val="0"/>
              </w:rPr>
              <w:t xml:space="preserve">28.260</w:t>
            </w:r>
          </w:p>
        </w:tc>
      </w:tr>
      <w:tr>
        <w:trPr>
          <w:cantSplit w:val="0"/>
          <w:trHeight w:val="315" w:hRule="atLeast"/>
          <w:tblHeader w:val="0"/>
        </w:trPr>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7">
            <w:pPr>
              <w:spacing w:line="240" w:lineRule="auto"/>
              <w:rPr/>
            </w:pPr>
            <w:r w:rsidDel="00000000" w:rsidR="00000000" w:rsidRPr="00000000">
              <w:rPr>
                <w:rtl w:val="0"/>
              </w:rPr>
              <w:t xml:space="preserve">IA</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8">
            <w:pPr>
              <w:spacing w:line="240" w:lineRule="auto"/>
              <w:jc w:val="right"/>
              <w:rPr/>
            </w:pPr>
            <w:r w:rsidDel="00000000" w:rsidR="00000000" w:rsidRPr="00000000">
              <w:rPr>
                <w:rtl w:val="0"/>
              </w:rPr>
              <w:t xml:space="preserve">3,021</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9">
            <w:pPr>
              <w:spacing w:line="240" w:lineRule="auto"/>
              <w:jc w:val="right"/>
              <w:rPr/>
            </w:pPr>
            <w:r w:rsidDel="00000000" w:rsidR="00000000" w:rsidRPr="00000000">
              <w:rPr>
                <w:rtl w:val="0"/>
              </w:rPr>
              <w:t xml:space="preserve">0.020</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A">
            <w:pPr>
              <w:spacing w:line="240" w:lineRule="auto"/>
              <w:jc w:val="right"/>
              <w:rPr/>
            </w:pPr>
            <w:r w:rsidDel="00000000" w:rsidR="00000000" w:rsidRPr="00000000">
              <w:rPr>
                <w:rtl w:val="0"/>
              </w:rPr>
              <w:t xml:space="preserve">0.003</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B">
            <w:pPr>
              <w:spacing w:line="240" w:lineRule="auto"/>
              <w:jc w:val="right"/>
              <w:rPr/>
            </w:pPr>
            <w:r w:rsidDel="00000000" w:rsidR="00000000" w:rsidRPr="00000000">
              <w:rPr>
                <w:rtl w:val="0"/>
              </w:rPr>
              <w:t xml:space="preserve">0.054</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C">
            <w:pPr>
              <w:spacing w:line="240" w:lineRule="auto"/>
              <w:jc w:val="right"/>
              <w:rPr/>
            </w:pPr>
            <w:r w:rsidDel="00000000" w:rsidR="00000000" w:rsidRPr="00000000">
              <w:rPr>
                <w:rtl w:val="0"/>
              </w:rPr>
              <w:t xml:space="preserve">0.000</w:t>
            </w:r>
          </w:p>
        </w:tc>
        <w:tc>
          <w:tcPr>
            <w:tcBorders>
              <w:top w:color="000000" w:space="0" w:sz="0" w:val="nil"/>
              <w:left w:color="000000" w:space="0" w:sz="0" w:val="nil"/>
              <w:bottom w:color="000000" w:space="0" w:sz="8" w:val="single"/>
              <w:right w:color="000000" w:space="0" w:sz="0" w:val="nil"/>
            </w:tcBorders>
            <w:vAlign w:val="center"/>
          </w:tcPr>
          <w:p w:rsidR="00000000" w:rsidDel="00000000" w:rsidP="00000000" w:rsidRDefault="00000000" w:rsidRPr="00000000" w14:paraId="000000BD">
            <w:pPr>
              <w:spacing w:line="240" w:lineRule="auto"/>
              <w:jc w:val="right"/>
              <w:rPr/>
            </w:pPr>
            <w:r w:rsidDel="00000000" w:rsidR="00000000" w:rsidRPr="00000000">
              <w:rPr>
                <w:rtl w:val="0"/>
              </w:rPr>
              <w:t xml:space="preserve">0.776</w:t>
            </w:r>
          </w:p>
        </w:tc>
      </w:tr>
    </w:tbl>
    <w:p w:rsidR="00000000" w:rsidDel="00000000" w:rsidP="00000000" w:rsidRDefault="00000000" w:rsidRPr="00000000" w14:paraId="000000BE">
      <w:pPr>
        <w:spacing w:after="120" w:line="288" w:lineRule="auto"/>
        <w:ind w:firstLine="426"/>
        <w:rPr>
          <w:sz w:val="24"/>
          <w:szCs w:val="24"/>
        </w:rPr>
      </w:pPr>
      <w:r w:rsidDel="00000000" w:rsidR="00000000" w:rsidRPr="00000000">
        <w:rPr>
          <w:sz w:val="24"/>
          <w:szCs w:val="24"/>
          <w:rtl w:val="0"/>
        </w:rPr>
        <w:t xml:space="preserve">Table 4.1 shows the descriptive statistics of all variables used in the model. The dependent variable AEM has a mean of 0.037 and a standard deviation of 0.033, indicating that the level of accrual earnings management in the sample is generally moderate, but the dispersion between observations remains significant. This value of mean is also consistent with empirical evidence in the Vietnamese context recorded by Dang &amp; Khanh (2024).</w:t>
      </w:r>
    </w:p>
    <w:p w:rsidR="00000000" w:rsidDel="00000000" w:rsidP="00000000" w:rsidRDefault="00000000" w:rsidRPr="00000000" w14:paraId="000000BF">
      <w:pPr>
        <w:spacing w:after="120" w:line="288" w:lineRule="auto"/>
        <w:ind w:firstLine="426"/>
        <w:rPr>
          <w:sz w:val="24"/>
          <w:szCs w:val="24"/>
        </w:rPr>
      </w:pPr>
      <w:r w:rsidDel="00000000" w:rsidR="00000000" w:rsidRPr="00000000">
        <w:rPr>
          <w:sz w:val="24"/>
          <w:szCs w:val="24"/>
          <w:rtl w:val="0"/>
        </w:rPr>
        <w:t xml:space="preserve">For the independent variable SDG, the mean value is 0.362 with a standard deviation of 0.182, implying that the level of SDG disclosure by businesses is quite low and clearly differentiated among observations. The range from 0.000 to 0.941 indicates the simultaneous existence of businesses that do not disclose SDGs and businesses with very high disclosure levels. Because this study develops a new SDG score measure to represent SDG disclosure, as to the best of our knowledge, there is currently no prior research with similar analysis to make the comparison with. </w:t>
      </w:r>
    </w:p>
    <w:p w:rsidR="00000000" w:rsidDel="00000000" w:rsidP="00000000" w:rsidRDefault="00000000" w:rsidRPr="00000000" w14:paraId="000000C0">
      <w:pPr>
        <w:pStyle w:val="Heading2"/>
        <w:spacing w:after="120" w:line="288" w:lineRule="auto"/>
        <w:rPr>
          <w:sz w:val="24"/>
          <w:szCs w:val="24"/>
        </w:rPr>
      </w:pPr>
      <w:bookmarkStart w:colFirst="0" w:colLast="0" w:name="_heading=h.z4fqm6uwfi12" w:id="14"/>
      <w:bookmarkEnd w:id="14"/>
      <w:r w:rsidDel="00000000" w:rsidR="00000000" w:rsidRPr="00000000">
        <w:rPr>
          <w:sz w:val="24"/>
          <w:szCs w:val="24"/>
          <w:rtl w:val="0"/>
        </w:rPr>
        <w:t xml:space="preserve">4.2. Correlation matrix</w:t>
      </w:r>
    </w:p>
    <w:p w:rsidR="00000000" w:rsidDel="00000000" w:rsidP="00000000" w:rsidRDefault="00000000" w:rsidRPr="00000000" w14:paraId="000000C1">
      <w:pPr>
        <w:spacing w:after="120" w:line="288" w:lineRule="auto"/>
        <w:ind w:firstLine="426"/>
        <w:rPr>
          <w:sz w:val="24"/>
          <w:szCs w:val="24"/>
        </w:rPr>
      </w:pPr>
      <w:r w:rsidDel="00000000" w:rsidR="00000000" w:rsidRPr="00000000">
        <w:rPr>
          <w:sz w:val="24"/>
          <w:szCs w:val="24"/>
          <w:rtl w:val="0"/>
        </w:rPr>
        <w:t xml:space="preserve">Table 4.2 presents the correlation matrix for the main variables. Overall, the correlations are small to moderate in size. The correlation between accrual-based earnings management (AEM) and sustainable development goals (SDG) is slightly negative and very weak (r = -0.032), suggesting no meaningful bivariate relationship. AEM shows a positive association with firm performance (ROE; r = 0.247) and with loss-making firms (LOSS; r = 0.166), indicating that earnings management tends to be more pronounced among firms experiencing stronger performance or recent losses. Firm size is moderately correlated with SDG (r = 0.479) and with BIG4 auditors (r = 0.433), consistent with the view that larger firms are more likely to engage in sustainability activities and to be audited by large audit firms. Importantly, none of the correlations are sufficiently high to raise concerns about multicollinearity, suggesting that the variables can be jointly included in the regression analysis.</w:t>
      </w:r>
    </w:p>
    <w:p w:rsidR="00000000" w:rsidDel="00000000" w:rsidP="00000000" w:rsidRDefault="00000000" w:rsidRPr="00000000" w14:paraId="000000C2">
      <w:pPr>
        <w:spacing w:after="120" w:line="288" w:lineRule="auto"/>
        <w:rPr>
          <w:sz w:val="24"/>
          <w:szCs w:val="24"/>
        </w:rPr>
      </w:pPr>
      <w:r w:rsidDel="00000000" w:rsidR="00000000" w:rsidRPr="00000000">
        <w:rPr>
          <w:sz w:val="24"/>
          <w:szCs w:val="24"/>
          <w:rtl w:val="0"/>
        </w:rPr>
        <w:t xml:space="preserve">Table 4.2. Correlation matrix</w:t>
      </w:r>
    </w:p>
    <w:p w:rsidR="00000000" w:rsidDel="00000000" w:rsidP="00000000" w:rsidRDefault="00000000" w:rsidRPr="00000000" w14:paraId="000000C3">
      <w:pPr>
        <w:spacing w:after="120" w:line="288" w:lineRule="auto"/>
        <w:jc w:val="left"/>
        <w:rPr>
          <w:i w:val="1"/>
          <w:iCs w:val="1"/>
          <w:sz w:val="24"/>
          <w:szCs w:val="24"/>
        </w:rPr>
      </w:pPr>
      <w:r w:rsidDel="00000000" w:rsidR="00000000" w:rsidRPr="00000000">
        <w:rPr>
          <w:i w:val="1"/>
          <w:iCs w:val="1"/>
          <w:sz w:val="24"/>
          <w:szCs w:val="24"/>
          <w:rtl w:val="0"/>
        </w:rPr>
        <w:t xml:space="preserve">Source: The authors (2026)</w:t>
      </w:r>
    </w:p>
    <w:tbl>
      <w:tblPr>
        <w:tblStyle w:val="Table3"/>
        <w:tblW w:w="9641.000000000002" w:type="dxa"/>
        <w:jc w:val="center"/>
        <w:tblLayout w:type="fixed"/>
        <w:tblLook w:val="0400"/>
      </w:tblPr>
      <w:tblGrid>
        <w:gridCol w:w="387"/>
        <w:gridCol w:w="1500"/>
        <w:gridCol w:w="576"/>
        <w:gridCol w:w="576"/>
        <w:gridCol w:w="576"/>
        <w:gridCol w:w="576"/>
        <w:gridCol w:w="576"/>
        <w:gridCol w:w="576"/>
        <w:gridCol w:w="576"/>
        <w:gridCol w:w="576"/>
        <w:gridCol w:w="517"/>
        <w:gridCol w:w="576"/>
        <w:gridCol w:w="576"/>
        <w:gridCol w:w="576"/>
        <w:gridCol w:w="518"/>
        <w:gridCol w:w="383"/>
        <w:tblGridChange w:id="0">
          <w:tblGrid>
            <w:gridCol w:w="387"/>
            <w:gridCol w:w="1500"/>
            <w:gridCol w:w="576"/>
            <w:gridCol w:w="576"/>
            <w:gridCol w:w="576"/>
            <w:gridCol w:w="576"/>
            <w:gridCol w:w="576"/>
            <w:gridCol w:w="576"/>
            <w:gridCol w:w="576"/>
            <w:gridCol w:w="576"/>
            <w:gridCol w:w="517"/>
            <w:gridCol w:w="576"/>
            <w:gridCol w:w="576"/>
            <w:gridCol w:w="576"/>
            <w:gridCol w:w="518"/>
            <w:gridCol w:w="383"/>
          </w:tblGrid>
        </w:tblGridChange>
      </w:tblGrid>
      <w:tr>
        <w:trPr>
          <w:cantSplit w:val="0"/>
          <w:trHeight w:val="420" w:hRule="atLeast"/>
          <w:tblHeader w:val="0"/>
        </w:trPr>
        <w:tc>
          <w:tcPr>
            <w:tcBorders>
              <w:top w:color="000000" w:space="0" w:sz="8" w:val="single"/>
              <w:bottom w:color="000000" w:space="0" w:sz="8" w:val="single"/>
            </w:tcBorders>
            <w:tcMar>
              <w:top w:w="100.0" w:type="dxa"/>
              <w:left w:w="100.0" w:type="dxa"/>
              <w:bottom w:w="100.0" w:type="dxa"/>
              <w:right w:w="100.0" w:type="dxa"/>
            </w:tcMar>
          </w:tcPr>
          <w:p w:rsidR="00000000" w:rsidDel="00000000" w:rsidP="00000000" w:rsidRDefault="00000000" w:rsidRPr="00000000" w14:paraId="000000C4">
            <w:pPr>
              <w:spacing w:line="240" w:lineRule="auto"/>
              <w:rPr>
                <w:b w:val="1"/>
                <w:bCs w:val="1"/>
                <w:sz w:val="18"/>
                <w:szCs w:val="18"/>
              </w:rPr>
            </w:pPr>
            <w:r w:rsidDel="00000000" w:rsidR="00000000" w:rsidRPr="00000000">
              <w:rPr>
                <w:b w:val="1"/>
                <w:bCs w:val="1"/>
                <w:sz w:val="18"/>
                <w:szCs w:val="18"/>
                <w:rtl w:val="0"/>
              </w:rPr>
              <w:t xml:space="preserve"> </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5">
            <w:pPr>
              <w:spacing w:line="240" w:lineRule="auto"/>
              <w:rPr>
                <w:b w:val="1"/>
                <w:bCs w:val="1"/>
                <w:sz w:val="18"/>
                <w:szCs w:val="18"/>
              </w:rPr>
            </w:pPr>
            <w:r w:rsidDel="00000000" w:rsidR="00000000" w:rsidRPr="00000000">
              <w:rPr>
                <w:b w:val="1"/>
                <w:bCs w:val="1"/>
                <w:sz w:val="18"/>
                <w:szCs w:val="18"/>
                <w:rtl w:val="0"/>
              </w:rPr>
              <w:t xml:space="preserve">Variables</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6">
            <w:pPr>
              <w:spacing w:line="240" w:lineRule="auto"/>
              <w:rPr>
                <w:b w:val="1"/>
                <w:bCs w:val="1"/>
                <w:sz w:val="18"/>
                <w:szCs w:val="18"/>
              </w:rPr>
            </w:pPr>
            <w:r w:rsidDel="00000000" w:rsidR="00000000" w:rsidRPr="00000000">
              <w:rPr>
                <w:b w:val="1"/>
                <w:bCs w:val="1"/>
                <w:sz w:val="18"/>
                <w:szCs w:val="18"/>
                <w:rtl w:val="0"/>
              </w:rPr>
              <w:t xml:space="preserve">1</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7">
            <w:pPr>
              <w:spacing w:line="240" w:lineRule="auto"/>
              <w:rPr>
                <w:b w:val="1"/>
                <w:bCs w:val="1"/>
                <w:sz w:val="18"/>
                <w:szCs w:val="18"/>
              </w:rPr>
            </w:pPr>
            <w:r w:rsidDel="00000000" w:rsidR="00000000" w:rsidRPr="00000000">
              <w:rPr>
                <w:b w:val="1"/>
                <w:bCs w:val="1"/>
                <w:sz w:val="18"/>
                <w:szCs w:val="18"/>
                <w:rtl w:val="0"/>
              </w:rPr>
              <w:t xml:space="preserve">2</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8">
            <w:pPr>
              <w:spacing w:line="240" w:lineRule="auto"/>
              <w:rPr>
                <w:b w:val="1"/>
                <w:bCs w:val="1"/>
                <w:sz w:val="18"/>
                <w:szCs w:val="18"/>
              </w:rPr>
            </w:pPr>
            <w:r w:rsidDel="00000000" w:rsidR="00000000" w:rsidRPr="00000000">
              <w:rPr>
                <w:b w:val="1"/>
                <w:bCs w:val="1"/>
                <w:sz w:val="18"/>
                <w:szCs w:val="18"/>
                <w:rtl w:val="0"/>
              </w:rPr>
              <w:t xml:space="preserve">3</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9">
            <w:pPr>
              <w:spacing w:line="240" w:lineRule="auto"/>
              <w:rPr>
                <w:b w:val="1"/>
                <w:bCs w:val="1"/>
                <w:sz w:val="18"/>
                <w:szCs w:val="18"/>
              </w:rPr>
            </w:pPr>
            <w:r w:rsidDel="00000000" w:rsidR="00000000" w:rsidRPr="00000000">
              <w:rPr>
                <w:b w:val="1"/>
                <w:bCs w:val="1"/>
                <w:sz w:val="18"/>
                <w:szCs w:val="18"/>
                <w:rtl w:val="0"/>
              </w:rPr>
              <w:t xml:space="preserve">4</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A">
            <w:pPr>
              <w:spacing w:line="240" w:lineRule="auto"/>
              <w:rPr>
                <w:b w:val="1"/>
                <w:bCs w:val="1"/>
                <w:sz w:val="18"/>
                <w:szCs w:val="18"/>
              </w:rPr>
            </w:pPr>
            <w:r w:rsidDel="00000000" w:rsidR="00000000" w:rsidRPr="00000000">
              <w:rPr>
                <w:b w:val="1"/>
                <w:bCs w:val="1"/>
                <w:sz w:val="18"/>
                <w:szCs w:val="18"/>
                <w:rtl w:val="0"/>
              </w:rPr>
              <w:t xml:space="preserve">5</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B">
            <w:pPr>
              <w:spacing w:line="240" w:lineRule="auto"/>
              <w:rPr>
                <w:b w:val="1"/>
                <w:bCs w:val="1"/>
                <w:sz w:val="18"/>
                <w:szCs w:val="18"/>
              </w:rPr>
            </w:pPr>
            <w:r w:rsidDel="00000000" w:rsidR="00000000" w:rsidRPr="00000000">
              <w:rPr>
                <w:b w:val="1"/>
                <w:bCs w:val="1"/>
                <w:sz w:val="18"/>
                <w:szCs w:val="18"/>
                <w:rtl w:val="0"/>
              </w:rPr>
              <w:t xml:space="preserve">6</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C">
            <w:pPr>
              <w:spacing w:line="240" w:lineRule="auto"/>
              <w:rPr>
                <w:b w:val="1"/>
                <w:bCs w:val="1"/>
                <w:sz w:val="18"/>
                <w:szCs w:val="18"/>
              </w:rPr>
            </w:pPr>
            <w:r w:rsidDel="00000000" w:rsidR="00000000" w:rsidRPr="00000000">
              <w:rPr>
                <w:b w:val="1"/>
                <w:bCs w:val="1"/>
                <w:sz w:val="18"/>
                <w:szCs w:val="18"/>
                <w:rtl w:val="0"/>
              </w:rPr>
              <w:t xml:space="preserve">7</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D">
            <w:pPr>
              <w:spacing w:line="240" w:lineRule="auto"/>
              <w:rPr>
                <w:b w:val="1"/>
                <w:bCs w:val="1"/>
                <w:sz w:val="18"/>
                <w:szCs w:val="18"/>
              </w:rPr>
            </w:pPr>
            <w:r w:rsidDel="00000000" w:rsidR="00000000" w:rsidRPr="00000000">
              <w:rPr>
                <w:b w:val="1"/>
                <w:bCs w:val="1"/>
                <w:sz w:val="18"/>
                <w:szCs w:val="18"/>
                <w:rtl w:val="0"/>
              </w:rPr>
              <w:t xml:space="preserve">8</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E">
            <w:pPr>
              <w:spacing w:line="240" w:lineRule="auto"/>
              <w:rPr>
                <w:b w:val="1"/>
                <w:bCs w:val="1"/>
                <w:sz w:val="18"/>
                <w:szCs w:val="18"/>
              </w:rPr>
            </w:pPr>
            <w:r w:rsidDel="00000000" w:rsidR="00000000" w:rsidRPr="00000000">
              <w:rPr>
                <w:b w:val="1"/>
                <w:bCs w:val="1"/>
                <w:sz w:val="18"/>
                <w:szCs w:val="18"/>
                <w:rtl w:val="0"/>
              </w:rPr>
              <w:t xml:space="preserve">9</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CF">
            <w:pPr>
              <w:spacing w:line="240" w:lineRule="auto"/>
              <w:rPr>
                <w:b w:val="1"/>
                <w:bCs w:val="1"/>
                <w:sz w:val="18"/>
                <w:szCs w:val="18"/>
              </w:rPr>
            </w:pPr>
            <w:r w:rsidDel="00000000" w:rsidR="00000000" w:rsidRPr="00000000">
              <w:rPr>
                <w:b w:val="1"/>
                <w:bCs w:val="1"/>
                <w:sz w:val="18"/>
                <w:szCs w:val="18"/>
                <w:rtl w:val="0"/>
              </w:rPr>
              <w:t xml:space="preserve">10</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D0">
            <w:pPr>
              <w:spacing w:line="240" w:lineRule="auto"/>
              <w:rPr>
                <w:b w:val="1"/>
                <w:bCs w:val="1"/>
                <w:sz w:val="18"/>
                <w:szCs w:val="18"/>
              </w:rPr>
            </w:pPr>
            <w:r w:rsidDel="00000000" w:rsidR="00000000" w:rsidRPr="00000000">
              <w:rPr>
                <w:b w:val="1"/>
                <w:bCs w:val="1"/>
                <w:sz w:val="18"/>
                <w:szCs w:val="18"/>
                <w:rtl w:val="0"/>
              </w:rPr>
              <w:t xml:space="preserve">11</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D1">
            <w:pPr>
              <w:spacing w:line="240" w:lineRule="auto"/>
              <w:rPr>
                <w:b w:val="1"/>
                <w:bCs w:val="1"/>
                <w:sz w:val="18"/>
                <w:szCs w:val="18"/>
              </w:rPr>
            </w:pPr>
            <w:r w:rsidDel="00000000" w:rsidR="00000000" w:rsidRPr="00000000">
              <w:rPr>
                <w:b w:val="1"/>
                <w:bCs w:val="1"/>
                <w:sz w:val="18"/>
                <w:szCs w:val="18"/>
                <w:rtl w:val="0"/>
              </w:rPr>
              <w:t xml:space="preserve">12</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D2">
            <w:pPr>
              <w:spacing w:line="240" w:lineRule="auto"/>
              <w:rPr>
                <w:b w:val="1"/>
                <w:bCs w:val="1"/>
                <w:sz w:val="18"/>
                <w:szCs w:val="18"/>
              </w:rPr>
            </w:pPr>
            <w:r w:rsidDel="00000000" w:rsidR="00000000" w:rsidRPr="00000000">
              <w:rPr>
                <w:b w:val="1"/>
                <w:bCs w:val="1"/>
                <w:sz w:val="18"/>
                <w:szCs w:val="18"/>
                <w:rtl w:val="0"/>
              </w:rPr>
              <w:t xml:space="preserve">13</w:t>
            </w:r>
          </w:p>
        </w:tc>
        <w:tc>
          <w:tcPr>
            <w:tcBorders>
              <w:top w:color="000000" w:space="0" w:sz="8" w:val="single"/>
              <w:bottom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0D3">
            <w:pPr>
              <w:spacing w:line="240" w:lineRule="auto"/>
              <w:rPr>
                <w:b w:val="1"/>
                <w:bCs w:val="1"/>
                <w:sz w:val="18"/>
                <w:szCs w:val="18"/>
              </w:rPr>
            </w:pPr>
            <w:r w:rsidDel="00000000" w:rsidR="00000000" w:rsidRPr="00000000">
              <w:rPr>
                <w:b w:val="1"/>
                <w:bCs w:val="1"/>
                <w:sz w:val="18"/>
                <w:szCs w:val="18"/>
                <w:rtl w:val="0"/>
              </w:rPr>
              <w:t xml:space="preserve">14</w:t>
            </w:r>
          </w:p>
        </w:tc>
      </w:tr>
      <w:tr>
        <w:trPr>
          <w:cantSplit w:val="0"/>
          <w:trHeight w:val="106" w:hRule="atLeast"/>
          <w:tblHeader w:val="0"/>
        </w:trPr>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4">
            <w:pPr>
              <w:keepNext w:val="1"/>
              <w:spacing w:line="278.00000000000006" w:lineRule="auto"/>
              <w:rPr>
                <w:sz w:val="18"/>
                <w:szCs w:val="18"/>
              </w:rPr>
            </w:pPr>
            <w:r w:rsidDel="00000000" w:rsidR="00000000" w:rsidRPr="00000000">
              <w:rPr>
                <w:sz w:val="18"/>
                <w:szCs w:val="18"/>
                <w:rtl w:val="0"/>
              </w:rPr>
              <w:t xml:space="preserve">1</w:t>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5">
            <w:pPr>
              <w:keepNext w:val="1"/>
              <w:spacing w:line="278.00000000000006" w:lineRule="auto"/>
              <w:rPr>
                <w:sz w:val="18"/>
                <w:szCs w:val="18"/>
              </w:rPr>
            </w:pPr>
            <w:r w:rsidDel="00000000" w:rsidR="00000000" w:rsidRPr="00000000">
              <w:rPr>
                <w:sz w:val="18"/>
                <w:szCs w:val="18"/>
                <w:rtl w:val="0"/>
              </w:rPr>
              <w:t xml:space="preserve">AEM</w:t>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6">
            <w:pPr>
              <w:keepNext w:val="1"/>
              <w:spacing w:line="278.00000000000006" w:lineRule="auto"/>
              <w:jc w:val="right"/>
              <w:rPr>
                <w:sz w:val="18"/>
                <w:szCs w:val="18"/>
              </w:rPr>
            </w:pPr>
            <w:r w:rsidDel="00000000" w:rsidR="00000000" w:rsidRPr="00000000">
              <w:rPr>
                <w:sz w:val="18"/>
                <w:szCs w:val="18"/>
                <w:rtl w:val="0"/>
              </w:rPr>
              <w:t xml:space="preserve">1</w:t>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7">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8">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9">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A">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B">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C">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D">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E">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DF">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E0">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E1">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E2">
            <w:pPr>
              <w:keepNext w:val="1"/>
              <w:spacing w:line="278.00000000000006" w:lineRule="auto"/>
              <w:jc w:val="right"/>
              <w:rPr>
                <w:sz w:val="18"/>
                <w:szCs w:val="18"/>
              </w:rPr>
            </w:pPr>
            <w:r w:rsidDel="00000000" w:rsidR="00000000" w:rsidRPr="00000000">
              <w:rPr>
                <w:rtl w:val="0"/>
              </w:rPr>
            </w:r>
          </w:p>
        </w:tc>
        <w:tc>
          <w:tcPr>
            <w:tcBorders>
              <w:top w:color="000000" w:space="0" w:sz="8" w:val="single"/>
            </w:tcBorders>
            <w:tcMar>
              <w:top w:w="100.0" w:type="dxa"/>
              <w:left w:w="100.0" w:type="dxa"/>
              <w:bottom w:w="100.0" w:type="dxa"/>
              <w:right w:w="100.0" w:type="dxa"/>
            </w:tcMar>
          </w:tcPr>
          <w:p w:rsidR="00000000" w:rsidDel="00000000" w:rsidP="00000000" w:rsidRDefault="00000000" w:rsidRPr="00000000" w14:paraId="000000E3">
            <w:pPr>
              <w:keepNext w:val="1"/>
              <w:spacing w:line="278.00000000000006" w:lineRule="auto"/>
              <w:jc w:val="right"/>
              <w:rPr>
                <w:sz w:val="18"/>
                <w:szCs w:val="18"/>
              </w:rPr>
            </w:pPr>
            <w:r w:rsidDel="00000000" w:rsidR="00000000" w:rsidRPr="00000000">
              <w:rPr>
                <w:rtl w:val="0"/>
              </w:rPr>
            </w:r>
          </w:p>
        </w:tc>
      </w:tr>
      <w:tr>
        <w:trPr>
          <w:cantSplit w:val="0"/>
          <w:trHeight w:val="104" w:hRule="atLeast"/>
          <w:tblHeader w:val="0"/>
        </w:trPr>
        <w:tc>
          <w:tcPr>
            <w:tcMar>
              <w:top w:w="100.0" w:type="dxa"/>
              <w:left w:w="100.0" w:type="dxa"/>
              <w:bottom w:w="100.0" w:type="dxa"/>
              <w:right w:w="100.0" w:type="dxa"/>
            </w:tcMar>
          </w:tcPr>
          <w:p w:rsidR="00000000" w:rsidDel="00000000" w:rsidP="00000000" w:rsidRDefault="00000000" w:rsidRPr="00000000" w14:paraId="000000E4">
            <w:pPr>
              <w:keepNext w:val="1"/>
              <w:spacing w:line="278.00000000000006" w:lineRule="auto"/>
              <w:rPr>
                <w:sz w:val="18"/>
                <w:szCs w:val="18"/>
              </w:rPr>
            </w:pPr>
            <w:r w:rsidDel="00000000" w:rsidR="00000000" w:rsidRPr="00000000">
              <w:rPr>
                <w:sz w:val="18"/>
                <w:szCs w:val="18"/>
                <w:rtl w:val="0"/>
              </w:rPr>
              <w:t xml:space="preserve">2</w:t>
            </w:r>
          </w:p>
        </w:tc>
        <w:tc>
          <w:tcPr>
            <w:tcMar>
              <w:top w:w="100.0" w:type="dxa"/>
              <w:left w:w="100.0" w:type="dxa"/>
              <w:bottom w:w="100.0" w:type="dxa"/>
              <w:right w:w="100.0" w:type="dxa"/>
            </w:tcMar>
          </w:tcPr>
          <w:p w:rsidR="00000000" w:rsidDel="00000000" w:rsidP="00000000" w:rsidRDefault="00000000" w:rsidRPr="00000000" w14:paraId="000000E5">
            <w:pPr>
              <w:keepNext w:val="1"/>
              <w:spacing w:line="278.00000000000006" w:lineRule="auto"/>
              <w:rPr>
                <w:sz w:val="18"/>
                <w:szCs w:val="18"/>
              </w:rPr>
            </w:pPr>
            <w:r w:rsidDel="00000000" w:rsidR="00000000" w:rsidRPr="00000000">
              <w:rPr>
                <w:sz w:val="18"/>
                <w:szCs w:val="18"/>
                <w:rtl w:val="0"/>
              </w:rPr>
              <w:t xml:space="preserve">SDG</w:t>
            </w:r>
          </w:p>
        </w:tc>
        <w:tc>
          <w:tcPr>
            <w:tcMar>
              <w:top w:w="100.0" w:type="dxa"/>
              <w:left w:w="100.0" w:type="dxa"/>
              <w:bottom w:w="100.0" w:type="dxa"/>
              <w:right w:w="100.0" w:type="dxa"/>
            </w:tcMar>
          </w:tcPr>
          <w:p w:rsidR="00000000" w:rsidDel="00000000" w:rsidP="00000000" w:rsidRDefault="00000000" w:rsidRPr="00000000" w14:paraId="000000E6">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0E7">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0E8">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9">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A">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B">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C">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E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3">
            <w:pPr>
              <w:keepNext w:val="1"/>
              <w:spacing w:line="278.00000000000006" w:lineRule="auto"/>
              <w:jc w:val="right"/>
              <w:rPr>
                <w:sz w:val="18"/>
                <w:szCs w:val="18"/>
              </w:rPr>
            </w:pPr>
            <w:r w:rsidDel="00000000" w:rsidR="00000000" w:rsidRPr="00000000">
              <w:rPr>
                <w:rtl w:val="0"/>
              </w:rPr>
            </w:r>
          </w:p>
        </w:tc>
      </w:tr>
      <w:tr>
        <w:trPr>
          <w:cantSplit w:val="0"/>
          <w:trHeight w:val="126" w:hRule="atLeast"/>
          <w:tblHeader w:val="0"/>
        </w:trPr>
        <w:tc>
          <w:tcPr>
            <w:tcMar>
              <w:top w:w="100.0" w:type="dxa"/>
              <w:left w:w="100.0" w:type="dxa"/>
              <w:bottom w:w="100.0" w:type="dxa"/>
              <w:right w:w="100.0" w:type="dxa"/>
            </w:tcMar>
          </w:tcPr>
          <w:p w:rsidR="00000000" w:rsidDel="00000000" w:rsidP="00000000" w:rsidRDefault="00000000" w:rsidRPr="00000000" w14:paraId="000000F4">
            <w:pPr>
              <w:keepNext w:val="1"/>
              <w:spacing w:line="278.00000000000006" w:lineRule="auto"/>
              <w:rPr>
                <w:sz w:val="18"/>
                <w:szCs w:val="18"/>
              </w:rPr>
            </w:pPr>
            <w:r w:rsidDel="00000000" w:rsidR="00000000" w:rsidRPr="00000000">
              <w:rPr>
                <w:sz w:val="18"/>
                <w:szCs w:val="18"/>
                <w:rtl w:val="0"/>
              </w:rPr>
              <w:t xml:space="preserve">3</w:t>
            </w:r>
          </w:p>
        </w:tc>
        <w:tc>
          <w:tcPr>
            <w:tcMar>
              <w:top w:w="100.0" w:type="dxa"/>
              <w:left w:w="100.0" w:type="dxa"/>
              <w:bottom w:w="100.0" w:type="dxa"/>
              <w:right w:w="100.0" w:type="dxa"/>
            </w:tcMar>
          </w:tcPr>
          <w:p w:rsidR="00000000" w:rsidDel="00000000" w:rsidP="00000000" w:rsidRDefault="00000000" w:rsidRPr="00000000" w14:paraId="000000F5">
            <w:pPr>
              <w:keepNext w:val="1"/>
              <w:spacing w:line="278.00000000000006" w:lineRule="auto"/>
              <w:rPr>
                <w:sz w:val="18"/>
                <w:szCs w:val="18"/>
              </w:rPr>
            </w:pPr>
            <w:r w:rsidDel="00000000" w:rsidR="00000000" w:rsidRPr="00000000">
              <w:rPr>
                <w:sz w:val="18"/>
                <w:szCs w:val="18"/>
                <w:rtl w:val="0"/>
              </w:rPr>
              <w:t xml:space="preserve">ROE</w:t>
            </w:r>
          </w:p>
        </w:tc>
        <w:tc>
          <w:tcPr>
            <w:tcMar>
              <w:top w:w="100.0" w:type="dxa"/>
              <w:left w:w="100.0" w:type="dxa"/>
              <w:bottom w:w="100.0" w:type="dxa"/>
              <w:right w:w="100.0" w:type="dxa"/>
            </w:tcMar>
          </w:tcPr>
          <w:p w:rsidR="00000000" w:rsidDel="00000000" w:rsidP="00000000" w:rsidRDefault="00000000" w:rsidRPr="00000000" w14:paraId="000000F6">
            <w:pPr>
              <w:keepNext w:val="1"/>
              <w:spacing w:line="278.00000000000006" w:lineRule="auto"/>
              <w:jc w:val="right"/>
              <w:rPr>
                <w:sz w:val="18"/>
                <w:szCs w:val="18"/>
              </w:rPr>
            </w:pPr>
            <w:r w:rsidDel="00000000" w:rsidR="00000000" w:rsidRPr="00000000">
              <w:rPr>
                <w:sz w:val="18"/>
                <w:szCs w:val="18"/>
                <w:rtl w:val="0"/>
              </w:rPr>
              <w:t xml:space="preserve">0.25</w:t>
            </w:r>
          </w:p>
        </w:tc>
        <w:tc>
          <w:tcPr>
            <w:tcMar>
              <w:top w:w="100.0" w:type="dxa"/>
              <w:left w:w="100.0" w:type="dxa"/>
              <w:bottom w:w="100.0" w:type="dxa"/>
              <w:right w:w="100.0" w:type="dxa"/>
            </w:tcMar>
          </w:tcPr>
          <w:p w:rsidR="00000000" w:rsidDel="00000000" w:rsidP="00000000" w:rsidRDefault="00000000" w:rsidRPr="00000000" w14:paraId="000000F7">
            <w:pPr>
              <w:keepNext w:val="1"/>
              <w:spacing w:line="278.00000000000006" w:lineRule="auto"/>
              <w:jc w:val="right"/>
              <w:rPr>
                <w:sz w:val="18"/>
                <w:szCs w:val="18"/>
              </w:rPr>
            </w:pPr>
            <w:r w:rsidDel="00000000" w:rsidR="00000000" w:rsidRPr="00000000">
              <w:rPr>
                <w:sz w:val="18"/>
                <w:szCs w:val="18"/>
                <w:rtl w:val="0"/>
              </w:rPr>
              <w:t xml:space="preserve">0.05</w:t>
            </w:r>
          </w:p>
        </w:tc>
        <w:tc>
          <w:tcPr>
            <w:tcMar>
              <w:top w:w="100.0" w:type="dxa"/>
              <w:left w:w="100.0" w:type="dxa"/>
              <w:bottom w:w="100.0" w:type="dxa"/>
              <w:right w:w="100.0" w:type="dxa"/>
            </w:tcMar>
          </w:tcPr>
          <w:p w:rsidR="00000000" w:rsidDel="00000000" w:rsidP="00000000" w:rsidRDefault="00000000" w:rsidRPr="00000000" w14:paraId="000000F8">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0F9">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A">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B">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C">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F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3">
            <w:pPr>
              <w:keepNext w:val="1"/>
              <w:spacing w:line="278.00000000000006" w:lineRule="auto"/>
              <w:jc w:val="right"/>
              <w:rPr>
                <w:sz w:val="18"/>
                <w:szCs w:val="18"/>
              </w:rPr>
            </w:pPr>
            <w:r w:rsidDel="00000000" w:rsidR="00000000" w:rsidRPr="00000000">
              <w:rPr>
                <w:rtl w:val="0"/>
              </w:rPr>
            </w:r>
          </w:p>
        </w:tc>
      </w:tr>
      <w:tr>
        <w:trPr>
          <w:cantSplit w:val="0"/>
          <w:trHeight w:val="34" w:hRule="atLeast"/>
          <w:tblHeader w:val="0"/>
        </w:trPr>
        <w:tc>
          <w:tcPr>
            <w:tcMar>
              <w:top w:w="100.0" w:type="dxa"/>
              <w:left w:w="100.0" w:type="dxa"/>
              <w:bottom w:w="100.0" w:type="dxa"/>
              <w:right w:w="100.0" w:type="dxa"/>
            </w:tcMar>
          </w:tcPr>
          <w:p w:rsidR="00000000" w:rsidDel="00000000" w:rsidP="00000000" w:rsidRDefault="00000000" w:rsidRPr="00000000" w14:paraId="00000104">
            <w:pPr>
              <w:keepNext w:val="1"/>
              <w:spacing w:line="278.00000000000006" w:lineRule="auto"/>
              <w:rPr>
                <w:sz w:val="18"/>
                <w:szCs w:val="18"/>
              </w:rPr>
            </w:pPr>
            <w:r w:rsidDel="00000000" w:rsidR="00000000" w:rsidRPr="00000000">
              <w:rPr>
                <w:sz w:val="18"/>
                <w:szCs w:val="18"/>
                <w:rtl w:val="0"/>
              </w:rPr>
              <w:t xml:space="preserve">4</w:t>
            </w:r>
          </w:p>
        </w:tc>
        <w:tc>
          <w:tcPr>
            <w:tcMar>
              <w:top w:w="100.0" w:type="dxa"/>
              <w:left w:w="100.0" w:type="dxa"/>
              <w:bottom w:w="100.0" w:type="dxa"/>
              <w:right w:w="100.0" w:type="dxa"/>
            </w:tcMar>
          </w:tcPr>
          <w:p w:rsidR="00000000" w:rsidDel="00000000" w:rsidP="00000000" w:rsidRDefault="00000000" w:rsidRPr="00000000" w14:paraId="00000105">
            <w:pPr>
              <w:keepNext w:val="1"/>
              <w:spacing w:line="278.00000000000006" w:lineRule="auto"/>
              <w:rPr>
                <w:sz w:val="18"/>
                <w:szCs w:val="18"/>
              </w:rPr>
            </w:pPr>
            <w:r w:rsidDel="00000000" w:rsidR="00000000" w:rsidRPr="00000000">
              <w:rPr>
                <w:sz w:val="18"/>
                <w:szCs w:val="18"/>
                <w:rtl w:val="0"/>
              </w:rPr>
              <w:t xml:space="preserve">SIZE</w:t>
            </w:r>
          </w:p>
        </w:tc>
        <w:tc>
          <w:tcPr>
            <w:tcMar>
              <w:top w:w="100.0" w:type="dxa"/>
              <w:left w:w="100.0" w:type="dxa"/>
              <w:bottom w:w="100.0" w:type="dxa"/>
              <w:right w:w="100.0" w:type="dxa"/>
            </w:tcMar>
          </w:tcPr>
          <w:p w:rsidR="00000000" w:rsidDel="00000000" w:rsidP="00000000" w:rsidRDefault="00000000" w:rsidRPr="00000000" w14:paraId="00000106">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07">
            <w:pPr>
              <w:keepNext w:val="1"/>
              <w:spacing w:line="278.00000000000006" w:lineRule="auto"/>
              <w:jc w:val="right"/>
              <w:rPr>
                <w:sz w:val="18"/>
                <w:szCs w:val="18"/>
              </w:rPr>
            </w:pPr>
            <w:r w:rsidDel="00000000" w:rsidR="00000000" w:rsidRPr="00000000">
              <w:rPr>
                <w:sz w:val="18"/>
                <w:szCs w:val="18"/>
                <w:rtl w:val="0"/>
              </w:rPr>
              <w:t xml:space="preserve">0.48</w:t>
            </w:r>
          </w:p>
        </w:tc>
        <w:tc>
          <w:tcPr>
            <w:tcMar>
              <w:top w:w="100.0" w:type="dxa"/>
              <w:left w:w="100.0" w:type="dxa"/>
              <w:bottom w:w="100.0" w:type="dxa"/>
              <w:right w:w="100.0" w:type="dxa"/>
            </w:tcMar>
          </w:tcPr>
          <w:p w:rsidR="00000000" w:rsidDel="00000000" w:rsidP="00000000" w:rsidRDefault="00000000" w:rsidRPr="00000000" w14:paraId="00000108">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09">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0A">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B">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C">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3">
            <w:pPr>
              <w:keepNext w:val="1"/>
              <w:spacing w:line="278.00000000000006" w:lineRule="auto"/>
              <w:jc w:val="right"/>
              <w:rPr>
                <w:sz w:val="18"/>
                <w:szCs w:val="18"/>
              </w:rPr>
            </w:pPr>
            <w:r w:rsidDel="00000000" w:rsidR="00000000" w:rsidRPr="00000000">
              <w:rPr>
                <w:rtl w:val="0"/>
              </w:rPr>
            </w:r>
          </w:p>
        </w:tc>
      </w:tr>
      <w:tr>
        <w:trPr>
          <w:cantSplit w:val="0"/>
          <w:trHeight w:val="57" w:hRule="atLeast"/>
          <w:tblHeader w:val="0"/>
        </w:trPr>
        <w:tc>
          <w:tcPr>
            <w:tcMar>
              <w:top w:w="100.0" w:type="dxa"/>
              <w:left w:w="100.0" w:type="dxa"/>
              <w:bottom w:w="100.0" w:type="dxa"/>
              <w:right w:w="100.0" w:type="dxa"/>
            </w:tcMar>
          </w:tcPr>
          <w:p w:rsidR="00000000" w:rsidDel="00000000" w:rsidP="00000000" w:rsidRDefault="00000000" w:rsidRPr="00000000" w14:paraId="00000114">
            <w:pPr>
              <w:keepNext w:val="1"/>
              <w:spacing w:line="278.00000000000006" w:lineRule="auto"/>
              <w:rPr>
                <w:sz w:val="18"/>
                <w:szCs w:val="18"/>
              </w:rPr>
            </w:pPr>
            <w:r w:rsidDel="00000000" w:rsidR="00000000" w:rsidRPr="00000000">
              <w:rPr>
                <w:sz w:val="18"/>
                <w:szCs w:val="18"/>
                <w:rtl w:val="0"/>
              </w:rPr>
              <w:t xml:space="preserve">5</w:t>
            </w:r>
          </w:p>
        </w:tc>
        <w:tc>
          <w:tcPr>
            <w:tcMar>
              <w:top w:w="100.0" w:type="dxa"/>
              <w:left w:w="100.0" w:type="dxa"/>
              <w:bottom w:w="100.0" w:type="dxa"/>
              <w:right w:w="100.0" w:type="dxa"/>
            </w:tcMar>
          </w:tcPr>
          <w:p w:rsidR="00000000" w:rsidDel="00000000" w:rsidP="00000000" w:rsidRDefault="00000000" w:rsidRPr="00000000" w14:paraId="00000115">
            <w:pPr>
              <w:keepNext w:val="1"/>
              <w:spacing w:line="278.00000000000006" w:lineRule="auto"/>
              <w:rPr>
                <w:sz w:val="18"/>
                <w:szCs w:val="18"/>
              </w:rPr>
            </w:pPr>
            <w:r w:rsidDel="00000000" w:rsidR="00000000" w:rsidRPr="00000000">
              <w:rPr>
                <w:sz w:val="18"/>
                <w:szCs w:val="18"/>
                <w:rtl w:val="0"/>
              </w:rPr>
              <w:t xml:space="preserve">LEV</w:t>
            </w:r>
          </w:p>
        </w:tc>
        <w:tc>
          <w:tcPr>
            <w:tcMar>
              <w:top w:w="100.0" w:type="dxa"/>
              <w:left w:w="100.0" w:type="dxa"/>
              <w:bottom w:w="100.0" w:type="dxa"/>
              <w:right w:w="100.0" w:type="dxa"/>
            </w:tcMar>
          </w:tcPr>
          <w:p w:rsidR="00000000" w:rsidDel="00000000" w:rsidP="00000000" w:rsidRDefault="00000000" w:rsidRPr="00000000" w14:paraId="00000116">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17">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18">
            <w:pPr>
              <w:keepNext w:val="1"/>
              <w:spacing w:line="278.00000000000006" w:lineRule="auto"/>
              <w:jc w:val="right"/>
              <w:rPr>
                <w:sz w:val="18"/>
                <w:szCs w:val="18"/>
              </w:rPr>
            </w:pPr>
            <w:r w:rsidDel="00000000" w:rsidR="00000000" w:rsidRPr="00000000">
              <w:rPr>
                <w:sz w:val="18"/>
                <w:szCs w:val="18"/>
                <w:rtl w:val="0"/>
              </w:rPr>
              <w:t xml:space="preserve">-0.12</w:t>
            </w:r>
          </w:p>
        </w:tc>
        <w:tc>
          <w:tcPr>
            <w:tcMar>
              <w:top w:w="100.0" w:type="dxa"/>
              <w:left w:w="100.0" w:type="dxa"/>
              <w:bottom w:w="100.0" w:type="dxa"/>
              <w:right w:w="100.0" w:type="dxa"/>
            </w:tcMar>
          </w:tcPr>
          <w:p w:rsidR="00000000" w:rsidDel="00000000" w:rsidP="00000000" w:rsidRDefault="00000000" w:rsidRPr="00000000" w14:paraId="00000119">
            <w:pPr>
              <w:keepNext w:val="1"/>
              <w:spacing w:line="278.00000000000006" w:lineRule="auto"/>
              <w:jc w:val="right"/>
              <w:rPr>
                <w:sz w:val="18"/>
                <w:szCs w:val="18"/>
              </w:rPr>
            </w:pPr>
            <w:r w:rsidDel="00000000" w:rsidR="00000000" w:rsidRPr="00000000">
              <w:rPr>
                <w:sz w:val="18"/>
                <w:szCs w:val="18"/>
                <w:rtl w:val="0"/>
              </w:rPr>
              <w:t xml:space="preserve">0.32</w:t>
            </w:r>
          </w:p>
        </w:tc>
        <w:tc>
          <w:tcPr>
            <w:tcMar>
              <w:top w:w="100.0" w:type="dxa"/>
              <w:left w:w="100.0" w:type="dxa"/>
              <w:bottom w:w="100.0" w:type="dxa"/>
              <w:right w:w="100.0" w:type="dxa"/>
            </w:tcMar>
          </w:tcPr>
          <w:p w:rsidR="00000000" w:rsidDel="00000000" w:rsidP="00000000" w:rsidRDefault="00000000" w:rsidRPr="00000000" w14:paraId="0000011A">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1B">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C">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3">
            <w:pPr>
              <w:keepNext w:val="1"/>
              <w:spacing w:line="278.00000000000006" w:lineRule="auto"/>
              <w:jc w:val="right"/>
              <w:rPr>
                <w:sz w:val="18"/>
                <w:szCs w:val="18"/>
              </w:rPr>
            </w:pPr>
            <w:r w:rsidDel="00000000" w:rsidR="00000000" w:rsidRPr="00000000">
              <w:rPr>
                <w:rtl w:val="0"/>
              </w:rPr>
            </w:r>
          </w:p>
        </w:tc>
      </w:tr>
      <w:tr>
        <w:trPr>
          <w:cantSplit w:val="0"/>
          <w:trHeight w:val="81" w:hRule="atLeast"/>
          <w:tblHeader w:val="0"/>
        </w:trPr>
        <w:tc>
          <w:tcPr>
            <w:tcMar>
              <w:top w:w="100.0" w:type="dxa"/>
              <w:left w:w="100.0" w:type="dxa"/>
              <w:bottom w:w="100.0" w:type="dxa"/>
              <w:right w:w="100.0" w:type="dxa"/>
            </w:tcMar>
          </w:tcPr>
          <w:p w:rsidR="00000000" w:rsidDel="00000000" w:rsidP="00000000" w:rsidRDefault="00000000" w:rsidRPr="00000000" w14:paraId="00000124">
            <w:pPr>
              <w:keepNext w:val="1"/>
              <w:spacing w:line="278.00000000000006" w:lineRule="auto"/>
              <w:rPr>
                <w:sz w:val="18"/>
                <w:szCs w:val="18"/>
              </w:rPr>
            </w:pPr>
            <w:r w:rsidDel="00000000" w:rsidR="00000000" w:rsidRPr="00000000">
              <w:rPr>
                <w:sz w:val="18"/>
                <w:szCs w:val="18"/>
                <w:rtl w:val="0"/>
              </w:rPr>
              <w:t xml:space="preserve">6</w:t>
            </w:r>
          </w:p>
        </w:tc>
        <w:tc>
          <w:tcPr>
            <w:tcMar>
              <w:top w:w="100.0" w:type="dxa"/>
              <w:left w:w="100.0" w:type="dxa"/>
              <w:bottom w:w="100.0" w:type="dxa"/>
              <w:right w:w="100.0" w:type="dxa"/>
            </w:tcMar>
          </w:tcPr>
          <w:p w:rsidR="00000000" w:rsidDel="00000000" w:rsidP="00000000" w:rsidRDefault="00000000" w:rsidRPr="00000000" w14:paraId="00000125">
            <w:pPr>
              <w:keepNext w:val="1"/>
              <w:spacing w:line="278.00000000000006" w:lineRule="auto"/>
              <w:rPr>
                <w:sz w:val="18"/>
                <w:szCs w:val="18"/>
              </w:rPr>
            </w:pPr>
            <w:r w:rsidDel="00000000" w:rsidR="00000000" w:rsidRPr="00000000">
              <w:rPr>
                <w:sz w:val="18"/>
                <w:szCs w:val="18"/>
                <w:rtl w:val="0"/>
              </w:rPr>
              <w:t xml:space="preserve">AT</w:t>
            </w:r>
          </w:p>
        </w:tc>
        <w:tc>
          <w:tcPr>
            <w:tcMar>
              <w:top w:w="100.0" w:type="dxa"/>
              <w:left w:w="100.0" w:type="dxa"/>
              <w:bottom w:w="100.0" w:type="dxa"/>
              <w:right w:w="100.0" w:type="dxa"/>
            </w:tcMar>
          </w:tcPr>
          <w:p w:rsidR="00000000" w:rsidDel="00000000" w:rsidP="00000000" w:rsidRDefault="00000000" w:rsidRPr="00000000" w14:paraId="00000126">
            <w:pPr>
              <w:keepNext w:val="1"/>
              <w:spacing w:line="278.00000000000006" w:lineRule="auto"/>
              <w:jc w:val="right"/>
              <w:rPr>
                <w:sz w:val="18"/>
                <w:szCs w:val="18"/>
              </w:rPr>
            </w:pPr>
            <w:r w:rsidDel="00000000" w:rsidR="00000000" w:rsidRPr="00000000">
              <w:rPr>
                <w:sz w:val="18"/>
                <w:szCs w:val="18"/>
                <w:rtl w:val="0"/>
              </w:rPr>
              <w:t xml:space="preserve">0.04</w:t>
            </w:r>
          </w:p>
        </w:tc>
        <w:tc>
          <w:tcPr>
            <w:tcMar>
              <w:top w:w="100.0" w:type="dxa"/>
              <w:left w:w="100.0" w:type="dxa"/>
              <w:bottom w:w="100.0" w:type="dxa"/>
              <w:right w:w="100.0" w:type="dxa"/>
            </w:tcMar>
          </w:tcPr>
          <w:p w:rsidR="00000000" w:rsidDel="00000000" w:rsidP="00000000" w:rsidRDefault="00000000" w:rsidRPr="00000000" w14:paraId="00000127">
            <w:pPr>
              <w:keepNext w:val="1"/>
              <w:spacing w:line="278.00000000000006" w:lineRule="auto"/>
              <w:jc w:val="right"/>
              <w:rPr>
                <w:sz w:val="18"/>
                <w:szCs w:val="18"/>
              </w:rPr>
            </w:pPr>
            <w:r w:rsidDel="00000000" w:rsidR="00000000" w:rsidRPr="00000000">
              <w:rPr>
                <w:sz w:val="18"/>
                <w:szCs w:val="18"/>
                <w:rtl w:val="0"/>
              </w:rPr>
              <w:t xml:space="preserve">-0.08</w:t>
            </w:r>
          </w:p>
        </w:tc>
        <w:tc>
          <w:tcPr>
            <w:tcMar>
              <w:top w:w="100.0" w:type="dxa"/>
              <w:left w:w="100.0" w:type="dxa"/>
              <w:bottom w:w="100.0" w:type="dxa"/>
              <w:right w:w="100.0" w:type="dxa"/>
            </w:tcMar>
          </w:tcPr>
          <w:p w:rsidR="00000000" w:rsidDel="00000000" w:rsidP="00000000" w:rsidRDefault="00000000" w:rsidRPr="00000000" w14:paraId="00000128">
            <w:pPr>
              <w:keepNext w:val="1"/>
              <w:spacing w:line="278.00000000000006" w:lineRule="auto"/>
              <w:jc w:val="right"/>
              <w:rPr>
                <w:sz w:val="18"/>
                <w:szCs w:val="18"/>
              </w:rPr>
            </w:pPr>
            <w:r w:rsidDel="00000000" w:rsidR="00000000" w:rsidRPr="00000000">
              <w:rPr>
                <w:sz w:val="18"/>
                <w:szCs w:val="18"/>
                <w:rtl w:val="0"/>
              </w:rPr>
              <w:t xml:space="preserve">0.22</w:t>
            </w:r>
          </w:p>
        </w:tc>
        <w:tc>
          <w:tcPr>
            <w:tcMar>
              <w:top w:w="100.0" w:type="dxa"/>
              <w:left w:w="100.0" w:type="dxa"/>
              <w:bottom w:w="100.0" w:type="dxa"/>
              <w:right w:w="100.0" w:type="dxa"/>
            </w:tcMar>
          </w:tcPr>
          <w:p w:rsidR="00000000" w:rsidDel="00000000" w:rsidP="00000000" w:rsidRDefault="00000000" w:rsidRPr="00000000" w14:paraId="00000129">
            <w:pPr>
              <w:keepNext w:val="1"/>
              <w:spacing w:line="278.00000000000006" w:lineRule="auto"/>
              <w:jc w:val="right"/>
              <w:rPr>
                <w:sz w:val="18"/>
                <w:szCs w:val="18"/>
              </w:rPr>
            </w:pPr>
            <w:r w:rsidDel="00000000" w:rsidR="00000000" w:rsidRPr="00000000">
              <w:rPr>
                <w:sz w:val="18"/>
                <w:szCs w:val="18"/>
                <w:rtl w:val="0"/>
              </w:rPr>
              <w:t xml:space="preserve">-0.23</w:t>
            </w:r>
          </w:p>
        </w:tc>
        <w:tc>
          <w:tcPr>
            <w:tcMar>
              <w:top w:w="100.0" w:type="dxa"/>
              <w:left w:w="100.0" w:type="dxa"/>
              <w:bottom w:w="100.0" w:type="dxa"/>
              <w:right w:w="100.0" w:type="dxa"/>
            </w:tcMar>
          </w:tcPr>
          <w:p w:rsidR="00000000" w:rsidDel="00000000" w:rsidP="00000000" w:rsidRDefault="00000000" w:rsidRPr="00000000" w14:paraId="0000012A">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2B">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2C">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2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3">
            <w:pPr>
              <w:keepNext w:val="1"/>
              <w:spacing w:line="278.00000000000006" w:lineRule="auto"/>
              <w:jc w:val="right"/>
              <w:rPr>
                <w:sz w:val="18"/>
                <w:szCs w:val="18"/>
              </w:rPr>
            </w:pPr>
            <w:r w:rsidDel="00000000" w:rsidR="00000000" w:rsidRPr="00000000">
              <w:rPr>
                <w:rtl w:val="0"/>
              </w:rPr>
            </w:r>
          </w:p>
        </w:tc>
      </w:tr>
      <w:tr>
        <w:trPr>
          <w:cantSplit w:val="0"/>
          <w:trHeight w:val="106" w:hRule="atLeast"/>
          <w:tblHeader w:val="0"/>
        </w:trPr>
        <w:tc>
          <w:tcPr>
            <w:tcMar>
              <w:top w:w="100.0" w:type="dxa"/>
              <w:left w:w="100.0" w:type="dxa"/>
              <w:bottom w:w="100.0" w:type="dxa"/>
              <w:right w:w="100.0" w:type="dxa"/>
            </w:tcMar>
          </w:tcPr>
          <w:p w:rsidR="00000000" w:rsidDel="00000000" w:rsidP="00000000" w:rsidRDefault="00000000" w:rsidRPr="00000000" w14:paraId="00000134">
            <w:pPr>
              <w:keepNext w:val="1"/>
              <w:spacing w:line="278.00000000000006" w:lineRule="auto"/>
              <w:rPr>
                <w:sz w:val="18"/>
                <w:szCs w:val="18"/>
              </w:rPr>
            </w:pPr>
            <w:r w:rsidDel="00000000" w:rsidR="00000000" w:rsidRPr="00000000">
              <w:rPr>
                <w:sz w:val="18"/>
                <w:szCs w:val="18"/>
                <w:rtl w:val="0"/>
              </w:rPr>
              <w:t xml:space="preserve">7</w:t>
            </w:r>
          </w:p>
        </w:tc>
        <w:tc>
          <w:tcPr>
            <w:tcMar>
              <w:top w:w="100.0" w:type="dxa"/>
              <w:left w:w="100.0" w:type="dxa"/>
              <w:bottom w:w="100.0" w:type="dxa"/>
              <w:right w:w="100.0" w:type="dxa"/>
            </w:tcMar>
          </w:tcPr>
          <w:p w:rsidR="00000000" w:rsidDel="00000000" w:rsidP="00000000" w:rsidRDefault="00000000" w:rsidRPr="00000000" w14:paraId="00000135">
            <w:pPr>
              <w:keepNext w:val="1"/>
              <w:spacing w:line="278.00000000000006" w:lineRule="auto"/>
              <w:rPr>
                <w:sz w:val="18"/>
                <w:szCs w:val="18"/>
              </w:rPr>
            </w:pPr>
            <w:r w:rsidDel="00000000" w:rsidR="00000000" w:rsidRPr="00000000">
              <w:rPr>
                <w:sz w:val="18"/>
                <w:szCs w:val="18"/>
                <w:rtl w:val="0"/>
              </w:rPr>
              <w:t xml:space="preserve">GROWTH</w:t>
            </w:r>
          </w:p>
        </w:tc>
        <w:tc>
          <w:tcPr>
            <w:tcMar>
              <w:top w:w="100.0" w:type="dxa"/>
              <w:left w:w="100.0" w:type="dxa"/>
              <w:bottom w:w="100.0" w:type="dxa"/>
              <w:right w:w="100.0" w:type="dxa"/>
            </w:tcMar>
          </w:tcPr>
          <w:p w:rsidR="00000000" w:rsidDel="00000000" w:rsidP="00000000" w:rsidRDefault="00000000" w:rsidRPr="00000000" w14:paraId="00000136">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37">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38">
            <w:pPr>
              <w:keepNext w:val="1"/>
              <w:spacing w:line="278.00000000000006" w:lineRule="auto"/>
              <w:jc w:val="right"/>
              <w:rPr>
                <w:sz w:val="18"/>
                <w:szCs w:val="18"/>
              </w:rPr>
            </w:pPr>
            <w:r w:rsidDel="00000000" w:rsidR="00000000" w:rsidRPr="00000000">
              <w:rPr>
                <w:sz w:val="18"/>
                <w:szCs w:val="18"/>
                <w:rtl w:val="0"/>
              </w:rPr>
              <w:t xml:space="preserve">0.27</w:t>
            </w:r>
          </w:p>
        </w:tc>
        <w:tc>
          <w:tcPr>
            <w:tcMar>
              <w:top w:w="100.0" w:type="dxa"/>
              <w:left w:w="100.0" w:type="dxa"/>
              <w:bottom w:w="100.0" w:type="dxa"/>
              <w:right w:w="100.0" w:type="dxa"/>
            </w:tcMar>
          </w:tcPr>
          <w:p w:rsidR="00000000" w:rsidDel="00000000" w:rsidP="00000000" w:rsidRDefault="00000000" w:rsidRPr="00000000" w14:paraId="00000139">
            <w:pPr>
              <w:keepNext w:val="1"/>
              <w:spacing w:line="278.00000000000006" w:lineRule="auto"/>
              <w:jc w:val="right"/>
              <w:rPr>
                <w:sz w:val="18"/>
                <w:szCs w:val="18"/>
              </w:rPr>
            </w:pPr>
            <w:r w:rsidDel="00000000" w:rsidR="00000000" w:rsidRPr="00000000">
              <w:rPr>
                <w:sz w:val="18"/>
                <w:szCs w:val="18"/>
                <w:rtl w:val="0"/>
              </w:rPr>
              <w:t xml:space="preserve">0.14</w:t>
            </w:r>
          </w:p>
        </w:tc>
        <w:tc>
          <w:tcPr>
            <w:tcMar>
              <w:top w:w="100.0" w:type="dxa"/>
              <w:left w:w="100.0" w:type="dxa"/>
              <w:bottom w:w="100.0" w:type="dxa"/>
              <w:right w:w="100.0" w:type="dxa"/>
            </w:tcMar>
          </w:tcPr>
          <w:p w:rsidR="00000000" w:rsidDel="00000000" w:rsidP="00000000" w:rsidRDefault="00000000" w:rsidRPr="00000000" w14:paraId="0000013A">
            <w:pPr>
              <w:keepNext w:val="1"/>
              <w:spacing w:line="278.00000000000006" w:lineRule="auto"/>
              <w:jc w:val="right"/>
              <w:rPr>
                <w:sz w:val="18"/>
                <w:szCs w:val="18"/>
              </w:rPr>
            </w:pPr>
            <w:r w:rsidDel="00000000" w:rsidR="00000000" w:rsidRPr="00000000">
              <w:rPr>
                <w:sz w:val="18"/>
                <w:szCs w:val="18"/>
                <w:rtl w:val="0"/>
              </w:rPr>
              <w:t xml:space="preserve">0.14</w:t>
            </w:r>
          </w:p>
        </w:tc>
        <w:tc>
          <w:tcPr>
            <w:tcMar>
              <w:top w:w="100.0" w:type="dxa"/>
              <w:left w:w="100.0" w:type="dxa"/>
              <w:bottom w:w="100.0" w:type="dxa"/>
              <w:right w:w="100.0" w:type="dxa"/>
            </w:tcMar>
          </w:tcPr>
          <w:p w:rsidR="00000000" w:rsidDel="00000000" w:rsidP="00000000" w:rsidRDefault="00000000" w:rsidRPr="00000000" w14:paraId="0000013B">
            <w:pPr>
              <w:keepNext w:val="1"/>
              <w:spacing w:line="278.00000000000006" w:lineRule="auto"/>
              <w:jc w:val="right"/>
              <w:rPr>
                <w:sz w:val="18"/>
                <w:szCs w:val="18"/>
              </w:rPr>
            </w:pPr>
            <w:r w:rsidDel="00000000" w:rsidR="00000000" w:rsidRPr="00000000">
              <w:rPr>
                <w:sz w:val="18"/>
                <w:szCs w:val="18"/>
                <w:rtl w:val="0"/>
              </w:rPr>
              <w:t xml:space="preserve">0.13</w:t>
            </w:r>
          </w:p>
        </w:tc>
        <w:tc>
          <w:tcPr>
            <w:tcMar>
              <w:top w:w="100.0" w:type="dxa"/>
              <w:left w:w="100.0" w:type="dxa"/>
              <w:bottom w:w="100.0" w:type="dxa"/>
              <w:right w:w="100.0" w:type="dxa"/>
            </w:tcMar>
          </w:tcPr>
          <w:p w:rsidR="00000000" w:rsidDel="00000000" w:rsidP="00000000" w:rsidRDefault="00000000" w:rsidRPr="00000000" w14:paraId="0000013C">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3D">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3">
            <w:pPr>
              <w:keepNext w:val="1"/>
              <w:spacing w:line="278.00000000000006" w:lineRule="auto"/>
              <w:jc w:val="right"/>
              <w:rPr>
                <w:sz w:val="18"/>
                <w:szCs w:val="18"/>
              </w:rPr>
            </w:pPr>
            <w:r w:rsidDel="00000000" w:rsidR="00000000" w:rsidRPr="00000000">
              <w:rPr>
                <w:rtl w:val="0"/>
              </w:rPr>
            </w:r>
          </w:p>
        </w:tc>
      </w:tr>
      <w:tr>
        <w:trPr>
          <w:cantSplit w:val="0"/>
          <w:trHeight w:val="18" w:hRule="atLeast"/>
          <w:tblHeader w:val="0"/>
        </w:trPr>
        <w:tc>
          <w:tcPr>
            <w:tcMar>
              <w:top w:w="100.0" w:type="dxa"/>
              <w:left w:w="100.0" w:type="dxa"/>
              <w:bottom w:w="100.0" w:type="dxa"/>
              <w:right w:w="100.0" w:type="dxa"/>
            </w:tcMar>
          </w:tcPr>
          <w:p w:rsidR="00000000" w:rsidDel="00000000" w:rsidP="00000000" w:rsidRDefault="00000000" w:rsidRPr="00000000" w14:paraId="00000144">
            <w:pPr>
              <w:keepNext w:val="1"/>
              <w:spacing w:line="278.00000000000006" w:lineRule="auto"/>
              <w:rPr>
                <w:sz w:val="18"/>
                <w:szCs w:val="18"/>
              </w:rPr>
            </w:pPr>
            <w:r w:rsidDel="00000000" w:rsidR="00000000" w:rsidRPr="00000000">
              <w:rPr>
                <w:sz w:val="18"/>
                <w:szCs w:val="18"/>
                <w:rtl w:val="0"/>
              </w:rPr>
              <w:t xml:space="preserve">8</w:t>
            </w:r>
          </w:p>
        </w:tc>
        <w:tc>
          <w:tcPr>
            <w:tcMar>
              <w:top w:w="100.0" w:type="dxa"/>
              <w:left w:w="100.0" w:type="dxa"/>
              <w:bottom w:w="100.0" w:type="dxa"/>
              <w:right w:w="100.0" w:type="dxa"/>
            </w:tcMar>
          </w:tcPr>
          <w:p w:rsidR="00000000" w:rsidDel="00000000" w:rsidP="00000000" w:rsidRDefault="00000000" w:rsidRPr="00000000" w14:paraId="00000145">
            <w:pPr>
              <w:keepNext w:val="1"/>
              <w:spacing w:line="278.00000000000006" w:lineRule="auto"/>
              <w:rPr>
                <w:sz w:val="18"/>
                <w:szCs w:val="18"/>
              </w:rPr>
            </w:pPr>
            <w:r w:rsidDel="00000000" w:rsidR="00000000" w:rsidRPr="00000000">
              <w:rPr>
                <w:sz w:val="18"/>
                <w:szCs w:val="18"/>
                <w:rtl w:val="0"/>
              </w:rPr>
              <w:t xml:space="preserve">STATE_OWN</w:t>
            </w:r>
          </w:p>
        </w:tc>
        <w:tc>
          <w:tcPr>
            <w:tcMar>
              <w:top w:w="100.0" w:type="dxa"/>
              <w:left w:w="100.0" w:type="dxa"/>
              <w:bottom w:w="100.0" w:type="dxa"/>
              <w:right w:w="100.0" w:type="dxa"/>
            </w:tcMar>
          </w:tcPr>
          <w:p w:rsidR="00000000" w:rsidDel="00000000" w:rsidP="00000000" w:rsidRDefault="00000000" w:rsidRPr="00000000" w14:paraId="00000146">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47">
            <w:pPr>
              <w:keepNext w:val="1"/>
              <w:spacing w:line="278.00000000000006" w:lineRule="auto"/>
              <w:jc w:val="right"/>
              <w:rPr>
                <w:sz w:val="18"/>
                <w:szCs w:val="18"/>
              </w:rPr>
            </w:pPr>
            <w:r w:rsidDel="00000000" w:rsidR="00000000" w:rsidRPr="00000000">
              <w:rPr>
                <w:sz w:val="18"/>
                <w:szCs w:val="18"/>
                <w:rtl w:val="0"/>
              </w:rPr>
              <w:t xml:space="preserve">0.07</w:t>
            </w:r>
          </w:p>
        </w:tc>
        <w:tc>
          <w:tcPr>
            <w:tcMar>
              <w:top w:w="100.0" w:type="dxa"/>
              <w:left w:w="100.0" w:type="dxa"/>
              <w:bottom w:w="100.0" w:type="dxa"/>
              <w:right w:w="100.0" w:type="dxa"/>
            </w:tcMar>
          </w:tcPr>
          <w:p w:rsidR="00000000" w:rsidDel="00000000" w:rsidP="00000000" w:rsidRDefault="00000000" w:rsidRPr="00000000" w14:paraId="00000148">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49">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4A">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4B">
            <w:pPr>
              <w:keepNext w:val="1"/>
              <w:spacing w:line="278.00000000000006" w:lineRule="auto"/>
              <w:jc w:val="right"/>
              <w:rPr>
                <w:sz w:val="18"/>
                <w:szCs w:val="18"/>
              </w:rPr>
            </w:pPr>
            <w:r w:rsidDel="00000000" w:rsidR="00000000" w:rsidRPr="00000000">
              <w:rPr>
                <w:sz w:val="18"/>
                <w:szCs w:val="18"/>
                <w:rtl w:val="0"/>
              </w:rPr>
              <w:t xml:space="preserve">0.11</w:t>
            </w:r>
          </w:p>
        </w:tc>
        <w:tc>
          <w:tcPr>
            <w:tcMar>
              <w:top w:w="100.0" w:type="dxa"/>
              <w:left w:w="100.0" w:type="dxa"/>
              <w:bottom w:w="100.0" w:type="dxa"/>
              <w:right w:w="100.0" w:type="dxa"/>
            </w:tcMar>
          </w:tcPr>
          <w:p w:rsidR="00000000" w:rsidDel="00000000" w:rsidP="00000000" w:rsidRDefault="00000000" w:rsidRPr="00000000" w14:paraId="0000014C">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4D">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4E">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3">
            <w:pPr>
              <w:keepNext w:val="1"/>
              <w:spacing w:line="278.00000000000006" w:lineRule="auto"/>
              <w:jc w:val="right"/>
              <w:rPr>
                <w:sz w:val="18"/>
                <w:szCs w:val="18"/>
              </w:rPr>
            </w:pPr>
            <w:r w:rsidDel="00000000" w:rsidR="00000000" w:rsidRPr="00000000">
              <w:rPr>
                <w:rtl w:val="0"/>
              </w:rPr>
            </w:r>
          </w:p>
        </w:tc>
      </w:tr>
      <w:tr>
        <w:trPr>
          <w:cantSplit w:val="0"/>
          <w:trHeight w:val="153" w:hRule="atLeast"/>
          <w:tblHeader w:val="0"/>
        </w:trPr>
        <w:tc>
          <w:tcPr>
            <w:tcMar>
              <w:top w:w="100.0" w:type="dxa"/>
              <w:left w:w="100.0" w:type="dxa"/>
              <w:bottom w:w="100.0" w:type="dxa"/>
              <w:right w:w="100.0" w:type="dxa"/>
            </w:tcMar>
          </w:tcPr>
          <w:p w:rsidR="00000000" w:rsidDel="00000000" w:rsidP="00000000" w:rsidRDefault="00000000" w:rsidRPr="00000000" w14:paraId="00000154">
            <w:pPr>
              <w:keepNext w:val="1"/>
              <w:spacing w:line="278.00000000000006" w:lineRule="auto"/>
              <w:rPr>
                <w:sz w:val="18"/>
                <w:szCs w:val="18"/>
              </w:rPr>
            </w:pPr>
            <w:r w:rsidDel="00000000" w:rsidR="00000000" w:rsidRPr="00000000">
              <w:rPr>
                <w:sz w:val="18"/>
                <w:szCs w:val="18"/>
                <w:rtl w:val="0"/>
              </w:rPr>
              <w:t xml:space="preserve">9</w:t>
            </w:r>
          </w:p>
        </w:tc>
        <w:tc>
          <w:tcPr>
            <w:tcMar>
              <w:top w:w="100.0" w:type="dxa"/>
              <w:left w:w="100.0" w:type="dxa"/>
              <w:bottom w:w="100.0" w:type="dxa"/>
              <w:right w:w="100.0" w:type="dxa"/>
            </w:tcMar>
          </w:tcPr>
          <w:p w:rsidR="00000000" w:rsidDel="00000000" w:rsidP="00000000" w:rsidRDefault="00000000" w:rsidRPr="00000000" w14:paraId="00000155">
            <w:pPr>
              <w:keepNext w:val="1"/>
              <w:spacing w:line="278.00000000000006" w:lineRule="auto"/>
              <w:rPr>
                <w:sz w:val="18"/>
                <w:szCs w:val="18"/>
              </w:rPr>
            </w:pPr>
            <w:r w:rsidDel="00000000" w:rsidR="00000000" w:rsidRPr="00000000">
              <w:rPr>
                <w:sz w:val="18"/>
                <w:szCs w:val="18"/>
                <w:rtl w:val="0"/>
              </w:rPr>
              <w:t xml:space="preserve">FOREIGN_OWN</w:t>
            </w:r>
          </w:p>
        </w:tc>
        <w:tc>
          <w:tcPr>
            <w:tcMar>
              <w:top w:w="100.0" w:type="dxa"/>
              <w:left w:w="100.0" w:type="dxa"/>
              <w:bottom w:w="100.0" w:type="dxa"/>
              <w:right w:w="100.0" w:type="dxa"/>
            </w:tcMar>
          </w:tcPr>
          <w:p w:rsidR="00000000" w:rsidDel="00000000" w:rsidP="00000000" w:rsidRDefault="00000000" w:rsidRPr="00000000" w14:paraId="00000156">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57">
            <w:pPr>
              <w:keepNext w:val="1"/>
              <w:spacing w:line="278.00000000000006" w:lineRule="auto"/>
              <w:jc w:val="right"/>
              <w:rPr>
                <w:sz w:val="18"/>
                <w:szCs w:val="18"/>
              </w:rPr>
            </w:pPr>
            <w:r w:rsidDel="00000000" w:rsidR="00000000" w:rsidRPr="00000000">
              <w:rPr>
                <w:sz w:val="18"/>
                <w:szCs w:val="18"/>
                <w:rtl w:val="0"/>
              </w:rPr>
              <w:t xml:space="preserve">0.18</w:t>
            </w:r>
          </w:p>
        </w:tc>
        <w:tc>
          <w:tcPr>
            <w:tcMar>
              <w:top w:w="100.0" w:type="dxa"/>
              <w:left w:w="100.0" w:type="dxa"/>
              <w:bottom w:w="100.0" w:type="dxa"/>
              <w:right w:w="100.0" w:type="dxa"/>
            </w:tcMar>
          </w:tcPr>
          <w:p w:rsidR="00000000" w:rsidDel="00000000" w:rsidP="00000000" w:rsidRDefault="00000000" w:rsidRPr="00000000" w14:paraId="00000158">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59">
            <w:pPr>
              <w:keepNext w:val="1"/>
              <w:spacing w:line="278.00000000000006" w:lineRule="auto"/>
              <w:jc w:val="right"/>
              <w:rPr>
                <w:sz w:val="18"/>
                <w:szCs w:val="18"/>
              </w:rPr>
            </w:pPr>
            <w:r w:rsidDel="00000000" w:rsidR="00000000" w:rsidRPr="00000000">
              <w:rPr>
                <w:sz w:val="18"/>
                <w:szCs w:val="18"/>
                <w:rtl w:val="0"/>
              </w:rPr>
              <w:t xml:space="preserve">0.19</w:t>
            </w:r>
          </w:p>
        </w:tc>
        <w:tc>
          <w:tcPr>
            <w:tcMar>
              <w:top w:w="100.0" w:type="dxa"/>
              <w:left w:w="100.0" w:type="dxa"/>
              <w:bottom w:w="100.0" w:type="dxa"/>
              <w:right w:w="100.0" w:type="dxa"/>
            </w:tcMar>
          </w:tcPr>
          <w:p w:rsidR="00000000" w:rsidDel="00000000" w:rsidP="00000000" w:rsidRDefault="00000000" w:rsidRPr="00000000" w14:paraId="0000015A">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5B">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5C">
            <w:pPr>
              <w:keepNext w:val="1"/>
              <w:spacing w:line="278.00000000000006" w:lineRule="auto"/>
              <w:jc w:val="right"/>
              <w:rPr>
                <w:sz w:val="18"/>
                <w:szCs w:val="18"/>
              </w:rPr>
            </w:pPr>
            <w:r w:rsidDel="00000000" w:rsidR="00000000" w:rsidRPr="00000000">
              <w:rPr>
                <w:sz w:val="18"/>
                <w:szCs w:val="18"/>
                <w:rtl w:val="0"/>
              </w:rPr>
              <w:t xml:space="preserve">0.00</w:t>
            </w:r>
          </w:p>
        </w:tc>
        <w:tc>
          <w:tcPr>
            <w:tcMar>
              <w:top w:w="100.0" w:type="dxa"/>
              <w:left w:w="100.0" w:type="dxa"/>
              <w:bottom w:w="100.0" w:type="dxa"/>
              <w:right w:w="100.0" w:type="dxa"/>
            </w:tcMar>
          </w:tcPr>
          <w:p w:rsidR="00000000" w:rsidDel="00000000" w:rsidP="00000000" w:rsidRDefault="00000000" w:rsidRPr="00000000" w14:paraId="0000015D">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5E">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5F">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63">
            <w:pPr>
              <w:keepNext w:val="1"/>
              <w:spacing w:line="278.00000000000006" w:lineRule="auto"/>
              <w:jc w:val="right"/>
              <w:rPr>
                <w:sz w:val="18"/>
                <w:szCs w:val="18"/>
              </w:rPr>
            </w:pPr>
            <w:r w:rsidDel="00000000" w:rsidR="00000000" w:rsidRPr="00000000">
              <w:rPr>
                <w:rtl w:val="0"/>
              </w:rPr>
            </w:r>
          </w:p>
        </w:tc>
      </w:tr>
      <w:tr>
        <w:trPr>
          <w:cantSplit w:val="0"/>
          <w:trHeight w:val="36" w:hRule="atLeast"/>
          <w:tblHeader w:val="0"/>
        </w:trPr>
        <w:tc>
          <w:tcPr>
            <w:tcMar>
              <w:top w:w="100.0" w:type="dxa"/>
              <w:left w:w="100.0" w:type="dxa"/>
              <w:bottom w:w="100.0" w:type="dxa"/>
              <w:right w:w="100.0" w:type="dxa"/>
            </w:tcMar>
          </w:tcPr>
          <w:p w:rsidR="00000000" w:rsidDel="00000000" w:rsidP="00000000" w:rsidRDefault="00000000" w:rsidRPr="00000000" w14:paraId="00000164">
            <w:pPr>
              <w:keepNext w:val="1"/>
              <w:spacing w:line="278.00000000000006" w:lineRule="auto"/>
              <w:rPr>
                <w:sz w:val="18"/>
                <w:szCs w:val="18"/>
              </w:rPr>
            </w:pPr>
            <w:r w:rsidDel="00000000" w:rsidR="00000000" w:rsidRPr="00000000">
              <w:rPr>
                <w:sz w:val="18"/>
                <w:szCs w:val="18"/>
                <w:rtl w:val="0"/>
              </w:rPr>
              <w:t xml:space="preserve">10</w:t>
            </w:r>
          </w:p>
        </w:tc>
        <w:tc>
          <w:tcPr>
            <w:tcMar>
              <w:top w:w="100.0" w:type="dxa"/>
              <w:left w:w="100.0" w:type="dxa"/>
              <w:bottom w:w="100.0" w:type="dxa"/>
              <w:right w:w="100.0" w:type="dxa"/>
            </w:tcMar>
          </w:tcPr>
          <w:p w:rsidR="00000000" w:rsidDel="00000000" w:rsidP="00000000" w:rsidRDefault="00000000" w:rsidRPr="00000000" w14:paraId="00000165">
            <w:pPr>
              <w:keepNext w:val="1"/>
              <w:spacing w:line="278.00000000000006" w:lineRule="auto"/>
              <w:rPr>
                <w:sz w:val="18"/>
                <w:szCs w:val="18"/>
              </w:rPr>
            </w:pPr>
            <w:r w:rsidDel="00000000" w:rsidR="00000000" w:rsidRPr="00000000">
              <w:rPr>
                <w:sz w:val="18"/>
                <w:szCs w:val="18"/>
                <w:rtl w:val="0"/>
              </w:rPr>
              <w:t xml:space="preserve">BIG4</w:t>
            </w:r>
          </w:p>
        </w:tc>
        <w:tc>
          <w:tcPr>
            <w:tcMar>
              <w:top w:w="100.0" w:type="dxa"/>
              <w:left w:w="100.0" w:type="dxa"/>
              <w:bottom w:w="100.0" w:type="dxa"/>
              <w:right w:w="100.0" w:type="dxa"/>
            </w:tcMar>
          </w:tcPr>
          <w:p w:rsidR="00000000" w:rsidDel="00000000" w:rsidP="00000000" w:rsidRDefault="00000000" w:rsidRPr="00000000" w14:paraId="00000166">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67">
            <w:pPr>
              <w:keepNext w:val="1"/>
              <w:spacing w:line="278.00000000000006" w:lineRule="auto"/>
              <w:jc w:val="right"/>
              <w:rPr>
                <w:sz w:val="18"/>
                <w:szCs w:val="18"/>
              </w:rPr>
            </w:pPr>
            <w:r w:rsidDel="00000000" w:rsidR="00000000" w:rsidRPr="00000000">
              <w:rPr>
                <w:sz w:val="18"/>
                <w:szCs w:val="18"/>
                <w:rtl w:val="0"/>
              </w:rPr>
              <w:t xml:space="preserve">0.30</w:t>
            </w:r>
          </w:p>
        </w:tc>
        <w:tc>
          <w:tcPr>
            <w:tcMar>
              <w:top w:w="100.0" w:type="dxa"/>
              <w:left w:w="100.0" w:type="dxa"/>
              <w:bottom w:w="100.0" w:type="dxa"/>
              <w:right w:w="100.0" w:type="dxa"/>
            </w:tcMar>
          </w:tcPr>
          <w:p w:rsidR="00000000" w:rsidDel="00000000" w:rsidP="00000000" w:rsidRDefault="00000000" w:rsidRPr="00000000" w14:paraId="00000168">
            <w:pPr>
              <w:keepNext w:val="1"/>
              <w:spacing w:line="278.00000000000006" w:lineRule="auto"/>
              <w:jc w:val="right"/>
              <w:rPr>
                <w:sz w:val="18"/>
                <w:szCs w:val="18"/>
              </w:rPr>
            </w:pPr>
            <w:r w:rsidDel="00000000" w:rsidR="00000000" w:rsidRPr="00000000">
              <w:rPr>
                <w:sz w:val="18"/>
                <w:szCs w:val="18"/>
                <w:rtl w:val="0"/>
              </w:rPr>
              <w:t xml:space="preserve">0.08</w:t>
            </w:r>
          </w:p>
        </w:tc>
        <w:tc>
          <w:tcPr>
            <w:tcMar>
              <w:top w:w="100.0" w:type="dxa"/>
              <w:left w:w="100.0" w:type="dxa"/>
              <w:bottom w:w="100.0" w:type="dxa"/>
              <w:right w:w="100.0" w:type="dxa"/>
            </w:tcMar>
          </w:tcPr>
          <w:p w:rsidR="00000000" w:rsidDel="00000000" w:rsidP="00000000" w:rsidRDefault="00000000" w:rsidRPr="00000000" w14:paraId="00000169">
            <w:pPr>
              <w:keepNext w:val="1"/>
              <w:spacing w:line="278.00000000000006" w:lineRule="auto"/>
              <w:jc w:val="right"/>
              <w:rPr>
                <w:sz w:val="18"/>
                <w:szCs w:val="18"/>
              </w:rPr>
            </w:pPr>
            <w:r w:rsidDel="00000000" w:rsidR="00000000" w:rsidRPr="00000000">
              <w:rPr>
                <w:sz w:val="18"/>
                <w:szCs w:val="18"/>
                <w:rtl w:val="0"/>
              </w:rPr>
              <w:t xml:space="preserve">0.43</w:t>
            </w:r>
          </w:p>
        </w:tc>
        <w:tc>
          <w:tcPr>
            <w:tcMar>
              <w:top w:w="100.0" w:type="dxa"/>
              <w:left w:w="100.0" w:type="dxa"/>
              <w:bottom w:w="100.0" w:type="dxa"/>
              <w:right w:w="100.0" w:type="dxa"/>
            </w:tcMar>
          </w:tcPr>
          <w:p w:rsidR="00000000" w:rsidDel="00000000" w:rsidP="00000000" w:rsidRDefault="00000000" w:rsidRPr="00000000" w14:paraId="0000016A">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6B">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6C">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6D">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6E">
            <w:pPr>
              <w:keepNext w:val="1"/>
              <w:spacing w:line="278.00000000000006" w:lineRule="auto"/>
              <w:jc w:val="right"/>
              <w:rPr>
                <w:sz w:val="18"/>
                <w:szCs w:val="18"/>
              </w:rPr>
            </w:pPr>
            <w:r w:rsidDel="00000000" w:rsidR="00000000" w:rsidRPr="00000000">
              <w:rPr>
                <w:sz w:val="18"/>
                <w:szCs w:val="18"/>
                <w:rtl w:val="0"/>
              </w:rPr>
              <w:t xml:space="preserve">0.20</w:t>
            </w:r>
          </w:p>
        </w:tc>
        <w:tc>
          <w:tcPr>
            <w:tcMar>
              <w:top w:w="100.0" w:type="dxa"/>
              <w:left w:w="100.0" w:type="dxa"/>
              <w:bottom w:w="100.0" w:type="dxa"/>
              <w:right w:w="100.0" w:type="dxa"/>
            </w:tcMar>
          </w:tcPr>
          <w:p w:rsidR="00000000" w:rsidDel="00000000" w:rsidP="00000000" w:rsidRDefault="00000000" w:rsidRPr="00000000" w14:paraId="0000016F">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70">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73">
            <w:pPr>
              <w:keepNext w:val="1"/>
              <w:spacing w:line="278.00000000000006" w:lineRule="auto"/>
              <w:jc w:val="right"/>
              <w:rPr>
                <w:sz w:val="18"/>
                <w:szCs w:val="18"/>
              </w:rPr>
            </w:pPr>
            <w:r w:rsidDel="00000000" w:rsidR="00000000" w:rsidRPr="00000000">
              <w:rPr>
                <w:rtl w:val="0"/>
              </w:rPr>
            </w:r>
          </w:p>
        </w:tc>
      </w:tr>
      <w:tr>
        <w:trPr>
          <w:cantSplit w:val="0"/>
          <w:trHeight w:val="59" w:hRule="atLeast"/>
          <w:tblHeader w:val="0"/>
        </w:trPr>
        <w:tc>
          <w:tcPr>
            <w:tcMar>
              <w:top w:w="100.0" w:type="dxa"/>
              <w:left w:w="100.0" w:type="dxa"/>
              <w:bottom w:w="100.0" w:type="dxa"/>
              <w:right w:w="100.0" w:type="dxa"/>
            </w:tcMar>
          </w:tcPr>
          <w:p w:rsidR="00000000" w:rsidDel="00000000" w:rsidP="00000000" w:rsidRDefault="00000000" w:rsidRPr="00000000" w14:paraId="00000174">
            <w:pPr>
              <w:keepNext w:val="1"/>
              <w:spacing w:line="278.00000000000006" w:lineRule="auto"/>
              <w:rPr>
                <w:sz w:val="18"/>
                <w:szCs w:val="18"/>
              </w:rPr>
            </w:pPr>
            <w:r w:rsidDel="00000000" w:rsidR="00000000" w:rsidRPr="00000000">
              <w:rPr>
                <w:sz w:val="18"/>
                <w:szCs w:val="18"/>
                <w:rtl w:val="0"/>
              </w:rPr>
              <w:t xml:space="preserve">11</w:t>
            </w:r>
          </w:p>
        </w:tc>
        <w:tc>
          <w:tcPr>
            <w:tcMar>
              <w:top w:w="100.0" w:type="dxa"/>
              <w:left w:w="100.0" w:type="dxa"/>
              <w:bottom w:w="100.0" w:type="dxa"/>
              <w:right w:w="100.0" w:type="dxa"/>
            </w:tcMar>
          </w:tcPr>
          <w:p w:rsidR="00000000" w:rsidDel="00000000" w:rsidP="00000000" w:rsidRDefault="00000000" w:rsidRPr="00000000" w14:paraId="00000175">
            <w:pPr>
              <w:keepNext w:val="1"/>
              <w:spacing w:line="278.00000000000006" w:lineRule="auto"/>
              <w:rPr>
                <w:sz w:val="18"/>
                <w:szCs w:val="18"/>
              </w:rPr>
            </w:pPr>
            <w:r w:rsidDel="00000000" w:rsidR="00000000" w:rsidRPr="00000000">
              <w:rPr>
                <w:sz w:val="18"/>
                <w:szCs w:val="18"/>
                <w:rtl w:val="0"/>
              </w:rPr>
              <w:t xml:space="preserve">AGE</w:t>
            </w:r>
          </w:p>
        </w:tc>
        <w:tc>
          <w:tcPr>
            <w:tcMar>
              <w:top w:w="100.0" w:type="dxa"/>
              <w:left w:w="100.0" w:type="dxa"/>
              <w:bottom w:w="100.0" w:type="dxa"/>
              <w:right w:w="100.0" w:type="dxa"/>
            </w:tcMar>
          </w:tcPr>
          <w:p w:rsidR="00000000" w:rsidDel="00000000" w:rsidP="00000000" w:rsidRDefault="00000000" w:rsidRPr="00000000" w14:paraId="00000176">
            <w:pPr>
              <w:keepNext w:val="1"/>
              <w:spacing w:line="278.00000000000006" w:lineRule="auto"/>
              <w:jc w:val="right"/>
              <w:rPr>
                <w:sz w:val="18"/>
                <w:szCs w:val="18"/>
              </w:rPr>
            </w:pPr>
            <w:r w:rsidDel="00000000" w:rsidR="00000000" w:rsidRPr="00000000">
              <w:rPr>
                <w:sz w:val="18"/>
                <w:szCs w:val="18"/>
                <w:rtl w:val="0"/>
              </w:rPr>
              <w:t xml:space="preserve">0.00</w:t>
            </w:r>
          </w:p>
        </w:tc>
        <w:tc>
          <w:tcPr>
            <w:tcMar>
              <w:top w:w="100.0" w:type="dxa"/>
              <w:left w:w="100.0" w:type="dxa"/>
              <w:bottom w:w="100.0" w:type="dxa"/>
              <w:right w:w="100.0" w:type="dxa"/>
            </w:tcMar>
          </w:tcPr>
          <w:p w:rsidR="00000000" w:rsidDel="00000000" w:rsidP="00000000" w:rsidRDefault="00000000" w:rsidRPr="00000000" w14:paraId="00000177">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78">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79">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7A">
            <w:pPr>
              <w:keepNext w:val="1"/>
              <w:spacing w:line="278.00000000000006" w:lineRule="auto"/>
              <w:jc w:val="right"/>
              <w:rPr>
                <w:sz w:val="18"/>
                <w:szCs w:val="18"/>
              </w:rPr>
            </w:pPr>
            <w:r w:rsidDel="00000000" w:rsidR="00000000" w:rsidRPr="00000000">
              <w:rPr>
                <w:sz w:val="18"/>
                <w:szCs w:val="18"/>
                <w:rtl w:val="0"/>
              </w:rPr>
              <w:t xml:space="preserve">-0.02</w:t>
            </w:r>
          </w:p>
        </w:tc>
        <w:tc>
          <w:tcPr>
            <w:tcMar>
              <w:top w:w="100.0" w:type="dxa"/>
              <w:left w:w="100.0" w:type="dxa"/>
              <w:bottom w:w="100.0" w:type="dxa"/>
              <w:right w:w="100.0" w:type="dxa"/>
            </w:tcMar>
          </w:tcPr>
          <w:p w:rsidR="00000000" w:rsidDel="00000000" w:rsidP="00000000" w:rsidRDefault="00000000" w:rsidRPr="00000000" w14:paraId="0000017B">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7C">
            <w:pPr>
              <w:keepNext w:val="1"/>
              <w:spacing w:line="278.00000000000006" w:lineRule="auto"/>
              <w:jc w:val="right"/>
              <w:rPr>
                <w:sz w:val="18"/>
                <w:szCs w:val="18"/>
              </w:rPr>
            </w:pPr>
            <w:r w:rsidDel="00000000" w:rsidR="00000000" w:rsidRPr="00000000">
              <w:rPr>
                <w:sz w:val="18"/>
                <w:szCs w:val="18"/>
                <w:rtl w:val="0"/>
              </w:rPr>
              <w:t xml:space="preserve">-0.11</w:t>
            </w:r>
          </w:p>
        </w:tc>
        <w:tc>
          <w:tcPr>
            <w:tcMar>
              <w:top w:w="100.0" w:type="dxa"/>
              <w:left w:w="100.0" w:type="dxa"/>
              <w:bottom w:w="100.0" w:type="dxa"/>
              <w:right w:w="100.0" w:type="dxa"/>
            </w:tcMar>
          </w:tcPr>
          <w:p w:rsidR="00000000" w:rsidDel="00000000" w:rsidP="00000000" w:rsidRDefault="00000000" w:rsidRPr="00000000" w14:paraId="0000017D">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7E">
            <w:pPr>
              <w:keepNext w:val="1"/>
              <w:spacing w:line="278.00000000000006" w:lineRule="auto"/>
              <w:jc w:val="right"/>
              <w:rPr>
                <w:sz w:val="18"/>
                <w:szCs w:val="18"/>
              </w:rPr>
            </w:pPr>
            <w:r w:rsidDel="00000000" w:rsidR="00000000" w:rsidRPr="00000000">
              <w:rPr>
                <w:sz w:val="18"/>
                <w:szCs w:val="18"/>
                <w:rtl w:val="0"/>
              </w:rPr>
              <w:t xml:space="preserve">0.13</w:t>
            </w:r>
          </w:p>
        </w:tc>
        <w:tc>
          <w:tcPr>
            <w:tcMar>
              <w:top w:w="100.0" w:type="dxa"/>
              <w:left w:w="100.0" w:type="dxa"/>
              <w:bottom w:w="100.0" w:type="dxa"/>
              <w:right w:w="100.0" w:type="dxa"/>
            </w:tcMar>
          </w:tcPr>
          <w:p w:rsidR="00000000" w:rsidDel="00000000" w:rsidP="00000000" w:rsidRDefault="00000000" w:rsidRPr="00000000" w14:paraId="0000017F">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80">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81">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3">
            <w:pPr>
              <w:keepNext w:val="1"/>
              <w:spacing w:line="278.00000000000006" w:lineRule="auto"/>
              <w:jc w:val="right"/>
              <w:rPr>
                <w:sz w:val="18"/>
                <w:szCs w:val="18"/>
              </w:rPr>
            </w:pPr>
            <w:r w:rsidDel="00000000" w:rsidR="00000000" w:rsidRPr="00000000">
              <w:rPr>
                <w:rtl w:val="0"/>
              </w:rPr>
            </w:r>
          </w:p>
        </w:tc>
      </w:tr>
      <w:tr>
        <w:trPr>
          <w:cantSplit w:val="0"/>
          <w:trHeight w:val="226" w:hRule="atLeast"/>
          <w:tblHeader w:val="0"/>
        </w:trPr>
        <w:tc>
          <w:tcPr>
            <w:tcMar>
              <w:top w:w="100.0" w:type="dxa"/>
              <w:left w:w="100.0" w:type="dxa"/>
              <w:bottom w:w="100.0" w:type="dxa"/>
              <w:right w:w="100.0" w:type="dxa"/>
            </w:tcMar>
          </w:tcPr>
          <w:p w:rsidR="00000000" w:rsidDel="00000000" w:rsidP="00000000" w:rsidRDefault="00000000" w:rsidRPr="00000000" w14:paraId="00000184">
            <w:pPr>
              <w:keepNext w:val="1"/>
              <w:spacing w:line="278.00000000000006" w:lineRule="auto"/>
              <w:rPr>
                <w:sz w:val="18"/>
                <w:szCs w:val="18"/>
              </w:rPr>
            </w:pPr>
            <w:r w:rsidDel="00000000" w:rsidR="00000000" w:rsidRPr="00000000">
              <w:rPr>
                <w:sz w:val="18"/>
                <w:szCs w:val="18"/>
                <w:rtl w:val="0"/>
              </w:rPr>
              <w:t xml:space="preserve">12</w:t>
            </w:r>
          </w:p>
        </w:tc>
        <w:tc>
          <w:tcPr>
            <w:tcMar>
              <w:top w:w="100.0" w:type="dxa"/>
              <w:left w:w="100.0" w:type="dxa"/>
              <w:bottom w:w="100.0" w:type="dxa"/>
              <w:right w:w="100.0" w:type="dxa"/>
            </w:tcMar>
          </w:tcPr>
          <w:p w:rsidR="00000000" w:rsidDel="00000000" w:rsidP="00000000" w:rsidRDefault="00000000" w:rsidRPr="00000000" w14:paraId="00000185">
            <w:pPr>
              <w:keepNext w:val="1"/>
              <w:spacing w:line="278.00000000000006" w:lineRule="auto"/>
              <w:rPr>
                <w:sz w:val="18"/>
                <w:szCs w:val="18"/>
              </w:rPr>
            </w:pPr>
            <w:r w:rsidDel="00000000" w:rsidR="00000000" w:rsidRPr="00000000">
              <w:rPr>
                <w:sz w:val="18"/>
                <w:szCs w:val="18"/>
                <w:rtl w:val="0"/>
              </w:rPr>
              <w:t xml:space="preserve">LOSS</w:t>
            </w:r>
          </w:p>
        </w:tc>
        <w:tc>
          <w:tcPr>
            <w:tcMar>
              <w:top w:w="100.0" w:type="dxa"/>
              <w:left w:w="100.0" w:type="dxa"/>
              <w:bottom w:w="100.0" w:type="dxa"/>
              <w:right w:w="100.0" w:type="dxa"/>
            </w:tcMar>
          </w:tcPr>
          <w:p w:rsidR="00000000" w:rsidDel="00000000" w:rsidP="00000000" w:rsidRDefault="00000000" w:rsidRPr="00000000" w14:paraId="00000186">
            <w:pPr>
              <w:keepNext w:val="1"/>
              <w:spacing w:line="278.00000000000006" w:lineRule="auto"/>
              <w:jc w:val="right"/>
              <w:rPr>
                <w:sz w:val="18"/>
                <w:szCs w:val="18"/>
              </w:rPr>
            </w:pPr>
            <w:r w:rsidDel="00000000" w:rsidR="00000000" w:rsidRPr="00000000">
              <w:rPr>
                <w:sz w:val="18"/>
                <w:szCs w:val="18"/>
                <w:rtl w:val="0"/>
              </w:rPr>
              <w:t xml:space="preserve">0.17</w:t>
            </w:r>
          </w:p>
        </w:tc>
        <w:tc>
          <w:tcPr>
            <w:tcMar>
              <w:top w:w="100.0" w:type="dxa"/>
              <w:left w:w="100.0" w:type="dxa"/>
              <w:bottom w:w="100.0" w:type="dxa"/>
              <w:right w:w="100.0" w:type="dxa"/>
            </w:tcMar>
          </w:tcPr>
          <w:p w:rsidR="00000000" w:rsidDel="00000000" w:rsidP="00000000" w:rsidRDefault="00000000" w:rsidRPr="00000000" w14:paraId="00000187">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88">
            <w:pPr>
              <w:keepNext w:val="1"/>
              <w:spacing w:line="278.00000000000006" w:lineRule="auto"/>
              <w:jc w:val="right"/>
              <w:rPr>
                <w:sz w:val="18"/>
                <w:szCs w:val="18"/>
              </w:rPr>
            </w:pPr>
            <w:r w:rsidDel="00000000" w:rsidR="00000000" w:rsidRPr="00000000">
              <w:rPr>
                <w:sz w:val="18"/>
                <w:szCs w:val="18"/>
                <w:rtl w:val="0"/>
              </w:rPr>
              <w:t xml:space="preserve">-0.37</w:t>
            </w:r>
          </w:p>
        </w:tc>
        <w:tc>
          <w:tcPr>
            <w:tcMar>
              <w:top w:w="100.0" w:type="dxa"/>
              <w:left w:w="100.0" w:type="dxa"/>
              <w:bottom w:w="100.0" w:type="dxa"/>
              <w:right w:w="100.0" w:type="dxa"/>
            </w:tcMar>
          </w:tcPr>
          <w:p w:rsidR="00000000" w:rsidDel="00000000" w:rsidP="00000000" w:rsidRDefault="00000000" w:rsidRPr="00000000" w14:paraId="00000189">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8A">
            <w:pPr>
              <w:keepNext w:val="1"/>
              <w:spacing w:line="278.00000000000006" w:lineRule="auto"/>
              <w:jc w:val="right"/>
              <w:rPr>
                <w:sz w:val="18"/>
                <w:szCs w:val="18"/>
              </w:rPr>
            </w:pPr>
            <w:r w:rsidDel="00000000" w:rsidR="00000000" w:rsidRPr="00000000">
              <w:rPr>
                <w:sz w:val="18"/>
                <w:szCs w:val="18"/>
                <w:rtl w:val="0"/>
              </w:rPr>
              <w:t xml:space="preserve">0.05</w:t>
            </w:r>
          </w:p>
        </w:tc>
        <w:tc>
          <w:tcPr>
            <w:tcMar>
              <w:top w:w="100.0" w:type="dxa"/>
              <w:left w:w="100.0" w:type="dxa"/>
              <w:bottom w:w="100.0" w:type="dxa"/>
              <w:right w:w="100.0" w:type="dxa"/>
            </w:tcMar>
          </w:tcPr>
          <w:p w:rsidR="00000000" w:rsidDel="00000000" w:rsidP="00000000" w:rsidRDefault="00000000" w:rsidRPr="00000000" w14:paraId="0000018B">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8C">
            <w:pPr>
              <w:keepNext w:val="1"/>
              <w:spacing w:line="278.00000000000006" w:lineRule="auto"/>
              <w:jc w:val="right"/>
              <w:rPr>
                <w:sz w:val="18"/>
                <w:szCs w:val="18"/>
              </w:rPr>
            </w:pPr>
            <w:r w:rsidDel="00000000" w:rsidR="00000000" w:rsidRPr="00000000">
              <w:rPr>
                <w:sz w:val="18"/>
                <w:szCs w:val="18"/>
                <w:rtl w:val="0"/>
              </w:rPr>
              <w:t xml:space="preserve">-0.11</w:t>
            </w:r>
          </w:p>
        </w:tc>
        <w:tc>
          <w:tcPr>
            <w:tcMar>
              <w:top w:w="100.0" w:type="dxa"/>
              <w:left w:w="100.0" w:type="dxa"/>
              <w:bottom w:w="100.0" w:type="dxa"/>
              <w:right w:w="100.0" w:type="dxa"/>
            </w:tcMar>
          </w:tcPr>
          <w:p w:rsidR="00000000" w:rsidDel="00000000" w:rsidP="00000000" w:rsidRDefault="00000000" w:rsidRPr="00000000" w14:paraId="0000018D">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8E">
            <w:pPr>
              <w:keepNext w:val="1"/>
              <w:spacing w:line="278.00000000000006" w:lineRule="auto"/>
              <w:jc w:val="right"/>
              <w:rPr>
                <w:sz w:val="18"/>
                <w:szCs w:val="18"/>
              </w:rPr>
            </w:pPr>
            <w:r w:rsidDel="00000000" w:rsidR="00000000" w:rsidRPr="00000000">
              <w:rPr>
                <w:sz w:val="18"/>
                <w:szCs w:val="18"/>
                <w:rtl w:val="0"/>
              </w:rPr>
              <w:t xml:space="preserve">0.03</w:t>
            </w:r>
          </w:p>
        </w:tc>
        <w:tc>
          <w:tcPr>
            <w:tcMar>
              <w:top w:w="100.0" w:type="dxa"/>
              <w:left w:w="100.0" w:type="dxa"/>
              <w:bottom w:w="100.0" w:type="dxa"/>
              <w:right w:w="100.0" w:type="dxa"/>
            </w:tcMar>
          </w:tcPr>
          <w:p w:rsidR="00000000" w:rsidDel="00000000" w:rsidP="00000000" w:rsidRDefault="00000000" w:rsidRPr="00000000" w14:paraId="0000018F">
            <w:pPr>
              <w:keepNext w:val="1"/>
              <w:spacing w:line="278.00000000000006" w:lineRule="auto"/>
              <w:jc w:val="right"/>
              <w:rPr>
                <w:sz w:val="18"/>
                <w:szCs w:val="18"/>
              </w:rPr>
            </w:pPr>
            <w:r w:rsidDel="00000000" w:rsidR="00000000" w:rsidRPr="00000000">
              <w:rPr>
                <w:sz w:val="18"/>
                <w:szCs w:val="18"/>
                <w:rtl w:val="0"/>
              </w:rPr>
              <w:t xml:space="preserve">-0.06</w:t>
            </w:r>
          </w:p>
        </w:tc>
        <w:tc>
          <w:tcPr>
            <w:tcMar>
              <w:top w:w="100.0" w:type="dxa"/>
              <w:left w:w="100.0" w:type="dxa"/>
              <w:bottom w:w="100.0" w:type="dxa"/>
              <w:right w:w="100.0" w:type="dxa"/>
            </w:tcMar>
          </w:tcPr>
          <w:p w:rsidR="00000000" w:rsidDel="00000000" w:rsidP="00000000" w:rsidRDefault="00000000" w:rsidRPr="00000000" w14:paraId="00000190">
            <w:pPr>
              <w:keepNext w:val="1"/>
              <w:spacing w:line="278.00000000000006" w:lineRule="auto"/>
              <w:jc w:val="right"/>
              <w:rPr>
                <w:sz w:val="18"/>
                <w:szCs w:val="18"/>
              </w:rPr>
            </w:pPr>
            <w:r w:rsidDel="00000000" w:rsidR="00000000" w:rsidRPr="00000000">
              <w:rPr>
                <w:sz w:val="18"/>
                <w:szCs w:val="18"/>
                <w:rtl w:val="0"/>
              </w:rPr>
              <w:t xml:space="preserve">0.04</w:t>
            </w:r>
          </w:p>
        </w:tc>
        <w:tc>
          <w:tcPr>
            <w:tcMar>
              <w:top w:w="100.0" w:type="dxa"/>
              <w:left w:w="100.0" w:type="dxa"/>
              <w:bottom w:w="100.0" w:type="dxa"/>
              <w:right w:w="100.0" w:type="dxa"/>
            </w:tcMar>
          </w:tcPr>
          <w:p w:rsidR="00000000" w:rsidDel="00000000" w:rsidP="00000000" w:rsidRDefault="00000000" w:rsidRPr="00000000" w14:paraId="00000191">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92">
            <w:pPr>
              <w:keepNext w:val="1"/>
              <w:spacing w:line="278.00000000000006" w:lineRule="auto"/>
              <w:jc w:val="right"/>
              <w:rPr>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3">
            <w:pPr>
              <w:keepNext w:val="1"/>
              <w:spacing w:line="278.00000000000006" w:lineRule="auto"/>
              <w:jc w:val="right"/>
              <w:rPr>
                <w:sz w:val="18"/>
                <w:szCs w:val="18"/>
              </w:rPr>
            </w:pPr>
            <w:r w:rsidDel="00000000" w:rsidR="00000000" w:rsidRPr="00000000">
              <w:rPr>
                <w:rtl w:val="0"/>
              </w:rPr>
            </w:r>
          </w:p>
        </w:tc>
      </w:tr>
      <w:tr>
        <w:trPr>
          <w:cantSplit w:val="0"/>
          <w:trHeight w:val="108" w:hRule="atLeast"/>
          <w:tblHeader w:val="0"/>
        </w:trPr>
        <w:tc>
          <w:tcPr>
            <w:tcMar>
              <w:top w:w="100.0" w:type="dxa"/>
              <w:left w:w="100.0" w:type="dxa"/>
              <w:bottom w:w="100.0" w:type="dxa"/>
              <w:right w:w="100.0" w:type="dxa"/>
            </w:tcMar>
          </w:tcPr>
          <w:p w:rsidR="00000000" w:rsidDel="00000000" w:rsidP="00000000" w:rsidRDefault="00000000" w:rsidRPr="00000000" w14:paraId="00000194">
            <w:pPr>
              <w:keepNext w:val="1"/>
              <w:spacing w:line="278.00000000000006" w:lineRule="auto"/>
              <w:rPr>
                <w:sz w:val="18"/>
                <w:szCs w:val="18"/>
              </w:rPr>
            </w:pPr>
            <w:r w:rsidDel="00000000" w:rsidR="00000000" w:rsidRPr="00000000">
              <w:rPr>
                <w:sz w:val="18"/>
                <w:szCs w:val="18"/>
                <w:rtl w:val="0"/>
              </w:rPr>
              <w:t xml:space="preserve">13</w:t>
            </w:r>
          </w:p>
        </w:tc>
        <w:tc>
          <w:tcPr>
            <w:tcMar>
              <w:top w:w="100.0" w:type="dxa"/>
              <w:left w:w="100.0" w:type="dxa"/>
              <w:bottom w:w="100.0" w:type="dxa"/>
              <w:right w:w="100.0" w:type="dxa"/>
            </w:tcMar>
          </w:tcPr>
          <w:p w:rsidR="00000000" w:rsidDel="00000000" w:rsidP="00000000" w:rsidRDefault="00000000" w:rsidRPr="00000000" w14:paraId="00000195">
            <w:pPr>
              <w:keepNext w:val="1"/>
              <w:spacing w:line="278.00000000000006" w:lineRule="auto"/>
              <w:rPr>
                <w:sz w:val="18"/>
                <w:szCs w:val="18"/>
              </w:rPr>
            </w:pPr>
            <w:r w:rsidDel="00000000" w:rsidR="00000000" w:rsidRPr="00000000">
              <w:rPr>
                <w:sz w:val="18"/>
                <w:szCs w:val="18"/>
                <w:rtl w:val="0"/>
              </w:rPr>
              <w:t xml:space="preserve">MTB</w:t>
            </w:r>
          </w:p>
        </w:tc>
        <w:tc>
          <w:tcPr>
            <w:tcMar>
              <w:top w:w="100.0" w:type="dxa"/>
              <w:left w:w="100.0" w:type="dxa"/>
              <w:bottom w:w="100.0" w:type="dxa"/>
              <w:right w:w="100.0" w:type="dxa"/>
            </w:tcMar>
          </w:tcPr>
          <w:p w:rsidR="00000000" w:rsidDel="00000000" w:rsidP="00000000" w:rsidRDefault="00000000" w:rsidRPr="00000000" w14:paraId="00000196">
            <w:pPr>
              <w:keepNext w:val="1"/>
              <w:spacing w:line="278.00000000000006" w:lineRule="auto"/>
              <w:jc w:val="right"/>
              <w:rPr>
                <w:sz w:val="18"/>
                <w:szCs w:val="18"/>
              </w:rPr>
            </w:pPr>
            <w:r w:rsidDel="00000000" w:rsidR="00000000" w:rsidRPr="00000000">
              <w:rPr>
                <w:sz w:val="18"/>
                <w:szCs w:val="18"/>
                <w:rtl w:val="0"/>
              </w:rPr>
              <w:t xml:space="preserve">0.11</w:t>
            </w:r>
          </w:p>
        </w:tc>
        <w:tc>
          <w:tcPr>
            <w:tcMar>
              <w:top w:w="100.0" w:type="dxa"/>
              <w:left w:w="100.0" w:type="dxa"/>
              <w:bottom w:w="100.0" w:type="dxa"/>
              <w:right w:w="100.0" w:type="dxa"/>
            </w:tcMar>
          </w:tcPr>
          <w:p w:rsidR="00000000" w:rsidDel="00000000" w:rsidP="00000000" w:rsidRDefault="00000000" w:rsidRPr="00000000" w14:paraId="00000197">
            <w:pPr>
              <w:keepNext w:val="1"/>
              <w:spacing w:line="278.00000000000006" w:lineRule="auto"/>
              <w:jc w:val="right"/>
              <w:rPr>
                <w:sz w:val="18"/>
                <w:szCs w:val="18"/>
              </w:rPr>
            </w:pPr>
            <w:r w:rsidDel="00000000" w:rsidR="00000000" w:rsidRPr="00000000">
              <w:rPr>
                <w:sz w:val="18"/>
                <w:szCs w:val="18"/>
                <w:rtl w:val="0"/>
              </w:rPr>
              <w:t xml:space="preserve">0.11</w:t>
            </w:r>
          </w:p>
        </w:tc>
        <w:tc>
          <w:tcPr>
            <w:tcMar>
              <w:top w:w="100.0" w:type="dxa"/>
              <w:left w:w="100.0" w:type="dxa"/>
              <w:bottom w:w="100.0" w:type="dxa"/>
              <w:right w:w="100.0" w:type="dxa"/>
            </w:tcMar>
          </w:tcPr>
          <w:p w:rsidR="00000000" w:rsidDel="00000000" w:rsidP="00000000" w:rsidRDefault="00000000" w:rsidRPr="00000000" w14:paraId="00000198">
            <w:pPr>
              <w:keepNext w:val="1"/>
              <w:spacing w:line="278.00000000000006" w:lineRule="auto"/>
              <w:jc w:val="right"/>
              <w:rPr>
                <w:sz w:val="18"/>
                <w:szCs w:val="18"/>
              </w:rPr>
            </w:pPr>
            <w:r w:rsidDel="00000000" w:rsidR="00000000" w:rsidRPr="00000000">
              <w:rPr>
                <w:sz w:val="18"/>
                <w:szCs w:val="18"/>
                <w:rtl w:val="0"/>
              </w:rPr>
              <w:t xml:space="preserve">0.29</w:t>
            </w:r>
          </w:p>
        </w:tc>
        <w:tc>
          <w:tcPr>
            <w:tcMar>
              <w:top w:w="100.0" w:type="dxa"/>
              <w:left w:w="100.0" w:type="dxa"/>
              <w:bottom w:w="100.0" w:type="dxa"/>
              <w:right w:w="100.0" w:type="dxa"/>
            </w:tcMar>
          </w:tcPr>
          <w:p w:rsidR="00000000" w:rsidDel="00000000" w:rsidP="00000000" w:rsidRDefault="00000000" w:rsidRPr="00000000" w14:paraId="00000199">
            <w:pPr>
              <w:keepNext w:val="1"/>
              <w:spacing w:line="278.00000000000006" w:lineRule="auto"/>
              <w:jc w:val="right"/>
              <w:rPr>
                <w:sz w:val="18"/>
                <w:szCs w:val="18"/>
              </w:rPr>
            </w:pPr>
            <w:r w:rsidDel="00000000" w:rsidR="00000000" w:rsidRPr="00000000">
              <w:rPr>
                <w:sz w:val="18"/>
                <w:szCs w:val="18"/>
                <w:rtl w:val="0"/>
              </w:rPr>
              <w:t xml:space="preserve">0.17</w:t>
            </w:r>
          </w:p>
        </w:tc>
        <w:tc>
          <w:tcPr>
            <w:tcMar>
              <w:top w:w="100.0" w:type="dxa"/>
              <w:left w:w="100.0" w:type="dxa"/>
              <w:bottom w:w="100.0" w:type="dxa"/>
              <w:right w:w="100.0" w:type="dxa"/>
            </w:tcMar>
          </w:tcPr>
          <w:p w:rsidR="00000000" w:rsidDel="00000000" w:rsidP="00000000" w:rsidRDefault="00000000" w:rsidRPr="00000000" w14:paraId="0000019A">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9B">
            <w:pPr>
              <w:keepNext w:val="1"/>
              <w:spacing w:line="278.00000000000006" w:lineRule="auto"/>
              <w:jc w:val="right"/>
              <w:rPr>
                <w:sz w:val="18"/>
                <w:szCs w:val="18"/>
              </w:rPr>
            </w:pPr>
            <w:r w:rsidDel="00000000" w:rsidR="00000000" w:rsidRPr="00000000">
              <w:rPr>
                <w:sz w:val="18"/>
                <w:szCs w:val="18"/>
                <w:rtl w:val="0"/>
              </w:rPr>
              <w:t xml:space="preserve">0.04</w:t>
            </w:r>
          </w:p>
        </w:tc>
        <w:tc>
          <w:tcPr>
            <w:tcMar>
              <w:top w:w="100.0" w:type="dxa"/>
              <w:left w:w="100.0" w:type="dxa"/>
              <w:bottom w:w="100.0" w:type="dxa"/>
              <w:right w:w="100.0" w:type="dxa"/>
            </w:tcMar>
          </w:tcPr>
          <w:p w:rsidR="00000000" w:rsidDel="00000000" w:rsidP="00000000" w:rsidRDefault="00000000" w:rsidRPr="00000000" w14:paraId="0000019C">
            <w:pPr>
              <w:keepNext w:val="1"/>
              <w:spacing w:line="278.00000000000006" w:lineRule="auto"/>
              <w:jc w:val="right"/>
              <w:rPr>
                <w:sz w:val="18"/>
                <w:szCs w:val="18"/>
              </w:rPr>
            </w:pPr>
            <w:r w:rsidDel="00000000" w:rsidR="00000000" w:rsidRPr="00000000">
              <w:rPr>
                <w:sz w:val="18"/>
                <w:szCs w:val="18"/>
                <w:rtl w:val="0"/>
              </w:rPr>
              <w:t xml:space="preserve">0.09</w:t>
            </w:r>
          </w:p>
        </w:tc>
        <w:tc>
          <w:tcPr>
            <w:tcMar>
              <w:top w:w="100.0" w:type="dxa"/>
              <w:left w:w="100.0" w:type="dxa"/>
              <w:bottom w:w="100.0" w:type="dxa"/>
              <w:right w:w="100.0" w:type="dxa"/>
            </w:tcMar>
          </w:tcPr>
          <w:p w:rsidR="00000000" w:rsidDel="00000000" w:rsidP="00000000" w:rsidRDefault="00000000" w:rsidRPr="00000000" w14:paraId="0000019D">
            <w:pPr>
              <w:keepNext w:val="1"/>
              <w:spacing w:line="278.00000000000006" w:lineRule="auto"/>
              <w:jc w:val="right"/>
              <w:rPr>
                <w:sz w:val="18"/>
                <w:szCs w:val="18"/>
              </w:rPr>
            </w:pPr>
            <w:r w:rsidDel="00000000" w:rsidR="00000000" w:rsidRPr="00000000">
              <w:rPr>
                <w:sz w:val="18"/>
                <w:szCs w:val="18"/>
                <w:rtl w:val="0"/>
              </w:rPr>
              <w:t xml:space="preserve">0.07</w:t>
            </w:r>
          </w:p>
        </w:tc>
        <w:tc>
          <w:tcPr>
            <w:tcMar>
              <w:top w:w="100.0" w:type="dxa"/>
              <w:left w:w="100.0" w:type="dxa"/>
              <w:bottom w:w="100.0" w:type="dxa"/>
              <w:right w:w="100.0" w:type="dxa"/>
            </w:tcMar>
          </w:tcPr>
          <w:p w:rsidR="00000000" w:rsidDel="00000000" w:rsidP="00000000" w:rsidRDefault="00000000" w:rsidRPr="00000000" w14:paraId="0000019E">
            <w:pPr>
              <w:keepNext w:val="1"/>
              <w:spacing w:line="278.00000000000006" w:lineRule="auto"/>
              <w:jc w:val="right"/>
              <w:rPr>
                <w:sz w:val="18"/>
                <w:szCs w:val="18"/>
              </w:rPr>
            </w:pPr>
            <w:r w:rsidDel="00000000" w:rsidR="00000000" w:rsidRPr="00000000">
              <w:rPr>
                <w:sz w:val="18"/>
                <w:szCs w:val="18"/>
                <w:rtl w:val="0"/>
              </w:rPr>
              <w:t xml:space="preserve">0.10</w:t>
            </w:r>
          </w:p>
        </w:tc>
        <w:tc>
          <w:tcPr>
            <w:tcMar>
              <w:top w:w="100.0" w:type="dxa"/>
              <w:left w:w="100.0" w:type="dxa"/>
              <w:bottom w:w="100.0" w:type="dxa"/>
              <w:right w:w="100.0" w:type="dxa"/>
            </w:tcMar>
          </w:tcPr>
          <w:p w:rsidR="00000000" w:rsidDel="00000000" w:rsidP="00000000" w:rsidRDefault="00000000" w:rsidRPr="00000000" w14:paraId="0000019F">
            <w:pPr>
              <w:keepNext w:val="1"/>
              <w:spacing w:line="278.00000000000006" w:lineRule="auto"/>
              <w:jc w:val="right"/>
              <w:rPr>
                <w:sz w:val="18"/>
                <w:szCs w:val="18"/>
              </w:rPr>
            </w:pPr>
            <w:r w:rsidDel="00000000" w:rsidR="00000000" w:rsidRPr="00000000">
              <w:rPr>
                <w:sz w:val="18"/>
                <w:szCs w:val="18"/>
                <w:rtl w:val="0"/>
              </w:rPr>
              <w:t xml:space="preserve">0.12</w:t>
            </w:r>
          </w:p>
        </w:tc>
        <w:tc>
          <w:tcPr>
            <w:tcMar>
              <w:top w:w="100.0" w:type="dxa"/>
              <w:left w:w="100.0" w:type="dxa"/>
              <w:bottom w:w="100.0" w:type="dxa"/>
              <w:right w:w="100.0" w:type="dxa"/>
            </w:tcMar>
          </w:tcPr>
          <w:p w:rsidR="00000000" w:rsidDel="00000000" w:rsidP="00000000" w:rsidRDefault="00000000" w:rsidRPr="00000000" w14:paraId="000001A0">
            <w:pPr>
              <w:keepNext w:val="1"/>
              <w:spacing w:line="278.00000000000006" w:lineRule="auto"/>
              <w:jc w:val="right"/>
              <w:rPr>
                <w:sz w:val="18"/>
                <w:szCs w:val="18"/>
              </w:rPr>
            </w:pPr>
            <w:r w:rsidDel="00000000" w:rsidR="00000000" w:rsidRPr="00000000">
              <w:rPr>
                <w:sz w:val="18"/>
                <w:szCs w:val="18"/>
                <w:rtl w:val="0"/>
              </w:rPr>
              <w:t xml:space="preserve">-0.05</w:t>
            </w:r>
          </w:p>
        </w:tc>
        <w:tc>
          <w:tcPr>
            <w:tcMar>
              <w:top w:w="100.0" w:type="dxa"/>
              <w:left w:w="100.0" w:type="dxa"/>
              <w:bottom w:w="100.0" w:type="dxa"/>
              <w:right w:w="100.0" w:type="dxa"/>
            </w:tcMar>
          </w:tcPr>
          <w:p w:rsidR="00000000" w:rsidDel="00000000" w:rsidP="00000000" w:rsidRDefault="00000000" w:rsidRPr="00000000" w14:paraId="000001A1">
            <w:pPr>
              <w:keepNext w:val="1"/>
              <w:spacing w:line="278.00000000000006" w:lineRule="auto"/>
              <w:jc w:val="right"/>
              <w:rPr>
                <w:sz w:val="18"/>
                <w:szCs w:val="18"/>
              </w:rPr>
            </w:pPr>
            <w:r w:rsidDel="00000000" w:rsidR="00000000" w:rsidRPr="00000000">
              <w:rPr>
                <w:sz w:val="18"/>
                <w:szCs w:val="18"/>
                <w:rtl w:val="0"/>
              </w:rPr>
              <w:t xml:space="preserve">-0.01</w:t>
            </w:r>
          </w:p>
        </w:tc>
        <w:tc>
          <w:tcPr>
            <w:tcMar>
              <w:top w:w="100.0" w:type="dxa"/>
              <w:left w:w="100.0" w:type="dxa"/>
              <w:bottom w:w="100.0" w:type="dxa"/>
              <w:right w:w="100.0" w:type="dxa"/>
            </w:tcMar>
          </w:tcPr>
          <w:p w:rsidR="00000000" w:rsidDel="00000000" w:rsidP="00000000" w:rsidRDefault="00000000" w:rsidRPr="00000000" w14:paraId="000001A2">
            <w:pPr>
              <w:keepNext w:val="1"/>
              <w:spacing w:line="278.00000000000006" w:lineRule="auto"/>
              <w:jc w:val="right"/>
              <w:rPr>
                <w:sz w:val="18"/>
                <w:szCs w:val="18"/>
              </w:rPr>
            </w:pPr>
            <w:r w:rsidDel="00000000" w:rsidR="00000000" w:rsidRPr="00000000">
              <w:rPr>
                <w:sz w:val="18"/>
                <w:szCs w:val="18"/>
                <w:rtl w:val="0"/>
              </w:rPr>
              <w:t xml:space="preserve">1</w:t>
            </w:r>
          </w:p>
        </w:tc>
        <w:tc>
          <w:tcPr>
            <w:tcMar>
              <w:top w:w="100.0" w:type="dxa"/>
              <w:left w:w="100.0" w:type="dxa"/>
              <w:bottom w:w="100.0" w:type="dxa"/>
              <w:right w:w="100.0" w:type="dxa"/>
            </w:tcMar>
          </w:tcPr>
          <w:p w:rsidR="00000000" w:rsidDel="00000000" w:rsidP="00000000" w:rsidRDefault="00000000" w:rsidRPr="00000000" w14:paraId="000001A3">
            <w:pPr>
              <w:keepNext w:val="1"/>
              <w:spacing w:line="278.00000000000006" w:lineRule="auto"/>
              <w:jc w:val="right"/>
              <w:rPr>
                <w:sz w:val="18"/>
                <w:szCs w:val="18"/>
              </w:rPr>
            </w:pPr>
            <w:r w:rsidDel="00000000" w:rsidR="00000000" w:rsidRPr="00000000">
              <w:rPr>
                <w:rtl w:val="0"/>
              </w:rPr>
            </w:r>
          </w:p>
        </w:tc>
      </w:tr>
      <w:tr>
        <w:trPr>
          <w:cantSplit w:val="0"/>
          <w:trHeight w:val="132" w:hRule="atLeast"/>
          <w:tblHeader w:val="0"/>
        </w:trPr>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4">
            <w:pPr>
              <w:keepNext w:val="1"/>
              <w:spacing w:line="278.00000000000006" w:lineRule="auto"/>
              <w:rPr>
                <w:sz w:val="18"/>
                <w:szCs w:val="18"/>
              </w:rPr>
            </w:pPr>
            <w:r w:rsidDel="00000000" w:rsidR="00000000" w:rsidRPr="00000000">
              <w:rPr>
                <w:sz w:val="18"/>
                <w:szCs w:val="18"/>
                <w:rtl w:val="0"/>
              </w:rPr>
              <w:t xml:space="preserve">14</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5">
            <w:pPr>
              <w:keepNext w:val="1"/>
              <w:spacing w:line="278.00000000000006" w:lineRule="auto"/>
              <w:rPr>
                <w:sz w:val="18"/>
                <w:szCs w:val="18"/>
              </w:rPr>
            </w:pPr>
            <w:r w:rsidDel="00000000" w:rsidR="00000000" w:rsidRPr="00000000">
              <w:rPr>
                <w:sz w:val="18"/>
                <w:szCs w:val="18"/>
                <w:rtl w:val="0"/>
              </w:rPr>
              <w:t xml:space="preserve">IA</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6">
            <w:pPr>
              <w:keepNext w:val="1"/>
              <w:spacing w:line="278.00000000000006" w:lineRule="auto"/>
              <w:jc w:val="right"/>
              <w:rPr>
                <w:sz w:val="18"/>
                <w:szCs w:val="18"/>
              </w:rPr>
            </w:pPr>
            <w:r w:rsidDel="00000000" w:rsidR="00000000" w:rsidRPr="00000000">
              <w:rPr>
                <w:sz w:val="18"/>
                <w:szCs w:val="18"/>
                <w:rtl w:val="0"/>
              </w:rPr>
              <w:t xml:space="preserve">0.00</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7">
            <w:pPr>
              <w:keepNext w:val="1"/>
              <w:spacing w:line="278.00000000000006" w:lineRule="auto"/>
              <w:jc w:val="right"/>
              <w:rPr>
                <w:sz w:val="18"/>
                <w:szCs w:val="18"/>
              </w:rPr>
            </w:pPr>
            <w:r w:rsidDel="00000000" w:rsidR="00000000" w:rsidRPr="00000000">
              <w:rPr>
                <w:sz w:val="18"/>
                <w:szCs w:val="18"/>
                <w:rtl w:val="0"/>
              </w:rPr>
              <w:t xml:space="preserve">0.04</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8">
            <w:pPr>
              <w:keepNext w:val="1"/>
              <w:spacing w:line="278.00000000000006" w:lineRule="auto"/>
              <w:jc w:val="right"/>
              <w:rPr>
                <w:sz w:val="18"/>
                <w:szCs w:val="18"/>
              </w:rPr>
            </w:pPr>
            <w:r w:rsidDel="00000000" w:rsidR="00000000" w:rsidRPr="00000000">
              <w:rPr>
                <w:sz w:val="18"/>
                <w:szCs w:val="18"/>
                <w:rtl w:val="0"/>
              </w:rPr>
              <w:t xml:space="preserve">-0.01</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9">
            <w:pPr>
              <w:keepNext w:val="1"/>
              <w:spacing w:line="278.00000000000006" w:lineRule="auto"/>
              <w:jc w:val="right"/>
              <w:rPr>
                <w:sz w:val="18"/>
                <w:szCs w:val="18"/>
              </w:rPr>
            </w:pPr>
            <w:r w:rsidDel="00000000" w:rsidR="00000000" w:rsidRPr="00000000">
              <w:rPr>
                <w:sz w:val="18"/>
                <w:szCs w:val="18"/>
                <w:rtl w:val="0"/>
              </w:rPr>
              <w:t xml:space="preserve">0.06</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A">
            <w:pPr>
              <w:keepNext w:val="1"/>
              <w:spacing w:line="278.00000000000006" w:lineRule="auto"/>
              <w:jc w:val="right"/>
              <w:rPr>
                <w:sz w:val="18"/>
                <w:szCs w:val="18"/>
              </w:rPr>
            </w:pPr>
            <w:r w:rsidDel="00000000" w:rsidR="00000000" w:rsidRPr="00000000">
              <w:rPr>
                <w:sz w:val="18"/>
                <w:szCs w:val="18"/>
                <w:rtl w:val="0"/>
              </w:rPr>
              <w:t xml:space="preserve">0.04</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B">
            <w:pPr>
              <w:keepNext w:val="1"/>
              <w:spacing w:line="278.00000000000006" w:lineRule="auto"/>
              <w:jc w:val="right"/>
              <w:rPr>
                <w:sz w:val="18"/>
                <w:szCs w:val="18"/>
              </w:rPr>
            </w:pPr>
            <w:r w:rsidDel="00000000" w:rsidR="00000000" w:rsidRPr="00000000">
              <w:rPr>
                <w:sz w:val="18"/>
                <w:szCs w:val="18"/>
                <w:rtl w:val="0"/>
              </w:rPr>
              <w:t xml:space="preserve">0.00</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C">
            <w:pPr>
              <w:keepNext w:val="1"/>
              <w:spacing w:line="278.00000000000006" w:lineRule="auto"/>
              <w:jc w:val="right"/>
              <w:rPr>
                <w:sz w:val="18"/>
                <w:szCs w:val="18"/>
              </w:rPr>
            </w:pPr>
            <w:r w:rsidDel="00000000" w:rsidR="00000000" w:rsidRPr="00000000">
              <w:rPr>
                <w:sz w:val="18"/>
                <w:szCs w:val="18"/>
                <w:rtl w:val="0"/>
              </w:rPr>
              <w:t xml:space="preserve">0.05</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D">
            <w:pPr>
              <w:keepNext w:val="1"/>
              <w:spacing w:line="278.00000000000006" w:lineRule="auto"/>
              <w:jc w:val="right"/>
              <w:rPr>
                <w:sz w:val="18"/>
                <w:szCs w:val="18"/>
              </w:rPr>
            </w:pPr>
            <w:r w:rsidDel="00000000" w:rsidR="00000000" w:rsidRPr="00000000">
              <w:rPr>
                <w:sz w:val="18"/>
                <w:szCs w:val="18"/>
                <w:rtl w:val="0"/>
              </w:rPr>
              <w:t xml:space="preserve">-0.05</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E">
            <w:pPr>
              <w:keepNext w:val="1"/>
              <w:spacing w:line="278.00000000000006" w:lineRule="auto"/>
              <w:jc w:val="right"/>
              <w:rPr>
                <w:sz w:val="18"/>
                <w:szCs w:val="18"/>
              </w:rPr>
            </w:pPr>
            <w:r w:rsidDel="00000000" w:rsidR="00000000" w:rsidRPr="00000000">
              <w:rPr>
                <w:sz w:val="18"/>
                <w:szCs w:val="18"/>
                <w:rtl w:val="0"/>
              </w:rPr>
              <w:t xml:space="preserve">0.06</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AF">
            <w:pPr>
              <w:keepNext w:val="1"/>
              <w:spacing w:line="278.00000000000006" w:lineRule="auto"/>
              <w:jc w:val="right"/>
              <w:rPr>
                <w:sz w:val="18"/>
                <w:szCs w:val="18"/>
              </w:rPr>
            </w:pPr>
            <w:r w:rsidDel="00000000" w:rsidR="00000000" w:rsidRPr="00000000">
              <w:rPr>
                <w:sz w:val="18"/>
                <w:szCs w:val="18"/>
                <w:rtl w:val="0"/>
              </w:rPr>
              <w:t xml:space="preserve">-0.03</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B0">
            <w:pPr>
              <w:keepNext w:val="1"/>
              <w:spacing w:line="278.00000000000006" w:lineRule="auto"/>
              <w:jc w:val="right"/>
              <w:rPr>
                <w:sz w:val="18"/>
                <w:szCs w:val="18"/>
              </w:rPr>
            </w:pPr>
            <w:r w:rsidDel="00000000" w:rsidR="00000000" w:rsidRPr="00000000">
              <w:rPr>
                <w:sz w:val="18"/>
                <w:szCs w:val="18"/>
                <w:rtl w:val="0"/>
              </w:rPr>
              <w:t xml:space="preserve">0.06</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B1">
            <w:pPr>
              <w:keepNext w:val="1"/>
              <w:spacing w:line="278.00000000000006" w:lineRule="auto"/>
              <w:jc w:val="right"/>
              <w:rPr>
                <w:sz w:val="18"/>
                <w:szCs w:val="18"/>
              </w:rPr>
            </w:pPr>
            <w:r w:rsidDel="00000000" w:rsidR="00000000" w:rsidRPr="00000000">
              <w:rPr>
                <w:sz w:val="18"/>
                <w:szCs w:val="18"/>
                <w:rtl w:val="0"/>
              </w:rPr>
              <w:t xml:space="preserve">0.01</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B2">
            <w:pPr>
              <w:keepNext w:val="1"/>
              <w:spacing w:line="278.00000000000006" w:lineRule="auto"/>
              <w:jc w:val="right"/>
              <w:rPr>
                <w:sz w:val="18"/>
                <w:szCs w:val="18"/>
              </w:rPr>
            </w:pPr>
            <w:r w:rsidDel="00000000" w:rsidR="00000000" w:rsidRPr="00000000">
              <w:rPr>
                <w:sz w:val="18"/>
                <w:szCs w:val="18"/>
                <w:rtl w:val="0"/>
              </w:rPr>
              <w:t xml:space="preserve">0.03</w:t>
            </w:r>
          </w:p>
        </w:tc>
        <w:tc>
          <w:tcPr>
            <w:tcBorders>
              <w:bottom w:color="000000" w:space="0" w:sz="8" w:val="single"/>
            </w:tcBorders>
            <w:tcMar>
              <w:top w:w="100.0" w:type="dxa"/>
              <w:left w:w="100.0" w:type="dxa"/>
              <w:bottom w:w="100.0" w:type="dxa"/>
              <w:right w:w="100.0" w:type="dxa"/>
            </w:tcMar>
          </w:tcPr>
          <w:p w:rsidR="00000000" w:rsidDel="00000000" w:rsidP="00000000" w:rsidRDefault="00000000" w:rsidRPr="00000000" w14:paraId="000001B3">
            <w:pPr>
              <w:keepNext w:val="1"/>
              <w:spacing w:line="278.00000000000006" w:lineRule="auto"/>
              <w:jc w:val="right"/>
              <w:rPr>
                <w:sz w:val="18"/>
                <w:szCs w:val="18"/>
              </w:rPr>
            </w:pPr>
            <w:r w:rsidDel="00000000" w:rsidR="00000000" w:rsidRPr="00000000">
              <w:rPr>
                <w:sz w:val="18"/>
                <w:szCs w:val="18"/>
                <w:rtl w:val="0"/>
              </w:rPr>
              <w:t xml:space="preserve">1</w:t>
            </w:r>
          </w:p>
        </w:tc>
      </w:tr>
    </w:tbl>
    <w:p w:rsidR="00000000" w:rsidDel="00000000" w:rsidP="00000000" w:rsidRDefault="00000000" w:rsidRPr="00000000" w14:paraId="000001B4">
      <w:pPr>
        <w:pStyle w:val="Heading2"/>
        <w:spacing w:after="120" w:line="288" w:lineRule="auto"/>
        <w:rPr>
          <w:sz w:val="24"/>
          <w:szCs w:val="24"/>
        </w:rPr>
      </w:pPr>
      <w:bookmarkStart w:colFirst="0" w:colLast="0" w:name="_heading=h.m9sc3p7j2d6d" w:id="15"/>
      <w:bookmarkEnd w:id="15"/>
      <w:r w:rsidDel="00000000" w:rsidR="00000000" w:rsidRPr="00000000">
        <w:rPr>
          <w:sz w:val="24"/>
          <w:szCs w:val="24"/>
          <w:rtl w:val="0"/>
        </w:rPr>
        <w:t xml:space="preserve">4.3. Regression result</w:t>
      </w:r>
    </w:p>
    <w:p w:rsidR="00000000" w:rsidDel="00000000" w:rsidP="00000000" w:rsidRDefault="00000000" w:rsidRPr="00000000" w14:paraId="000001B5">
      <w:pPr>
        <w:spacing w:after="120" w:line="288" w:lineRule="auto"/>
        <w:ind w:firstLine="426"/>
        <w:rPr>
          <w:sz w:val="24"/>
          <w:szCs w:val="24"/>
        </w:rPr>
      </w:pPr>
      <w:r w:rsidDel="00000000" w:rsidR="00000000" w:rsidRPr="00000000">
        <w:rPr>
          <w:sz w:val="24"/>
          <w:szCs w:val="24"/>
          <w:rtl w:val="0"/>
        </w:rPr>
        <w:t xml:space="preserve">Table 4.3 reports the regression results examining the association between corporate SDG disclosure and accrual-based earnings management. The model is statistically significant (F-statistic = 21.31; Prob &gt; F = 0.000), with an adjusted R² of 0.1537, indicating modest explanatory power that is comparable to prior firm-level earnings management studies. All regressions include industry-year fixed effects to control for unobserved heterogeneity across industries and time, and standard errors are clustered at the firm level to account for within-firm correlation.</w:t>
      </w:r>
    </w:p>
    <w:p w:rsidR="00000000" w:rsidDel="00000000" w:rsidP="00000000" w:rsidRDefault="00000000" w:rsidRPr="00000000" w14:paraId="000001B6">
      <w:pPr>
        <w:spacing w:after="120" w:line="288"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B7">
      <w:pPr>
        <w:spacing w:after="120" w:line="288" w:lineRule="auto"/>
        <w:rPr>
          <w:sz w:val="24"/>
          <w:szCs w:val="24"/>
        </w:rPr>
      </w:pPr>
      <w:r w:rsidDel="00000000" w:rsidR="00000000" w:rsidRPr="00000000">
        <w:rPr>
          <w:sz w:val="24"/>
          <w:szCs w:val="24"/>
          <w:rtl w:val="0"/>
        </w:rPr>
        <w:t xml:space="preserve">Table 4.3. OLS Regression Results</w:t>
      </w:r>
    </w:p>
    <w:p w:rsidR="00000000" w:rsidDel="00000000" w:rsidP="00000000" w:rsidRDefault="00000000" w:rsidRPr="00000000" w14:paraId="000001B8">
      <w:pPr>
        <w:spacing w:after="120" w:line="288" w:lineRule="auto"/>
        <w:jc w:val="left"/>
        <w:rPr>
          <w:i w:val="1"/>
          <w:iCs w:val="1"/>
          <w:sz w:val="24"/>
          <w:szCs w:val="24"/>
        </w:rPr>
      </w:pPr>
      <w:r w:rsidDel="00000000" w:rsidR="00000000" w:rsidRPr="00000000">
        <w:rPr>
          <w:i w:val="1"/>
          <w:iCs w:val="1"/>
          <w:sz w:val="24"/>
          <w:szCs w:val="24"/>
          <w:rtl w:val="0"/>
        </w:rPr>
        <w:t xml:space="preserve">Source: The authors (2026)</w:t>
      </w:r>
    </w:p>
    <w:tbl>
      <w:tblPr>
        <w:tblStyle w:val="Table4"/>
        <w:tblW w:w="418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1770"/>
        <w:tblGridChange w:id="0">
          <w:tblGrid>
            <w:gridCol w:w="2415"/>
            <w:gridCol w:w="1770"/>
          </w:tblGrid>
        </w:tblGridChange>
      </w:tblGrid>
      <w:tr>
        <w:trPr>
          <w:cantSplit w:val="0"/>
          <w:trHeight w:val="300" w:hRule="atLeast"/>
          <w:tblHeader w:val="0"/>
        </w:trPr>
        <w:tc>
          <w:tcPr>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9">
            <w:pPr>
              <w:ind w:left="100" w:firstLine="0"/>
              <w:rPr/>
            </w:pPr>
            <w:r w:rsidDel="00000000" w:rsidR="00000000" w:rsidRPr="00000000">
              <w:rPr>
                <w:rtl w:val="0"/>
              </w:rPr>
              <w:t xml:space="preserve"> </w:t>
            </w:r>
          </w:p>
        </w:tc>
        <w:tc>
          <w:tcPr>
            <w:tcBorders>
              <w:top w:color="000000" w:space="0" w:sz="6" w:val="single"/>
              <w:left w:color="000000" w:space="0" w:sz="0" w:val="nil"/>
              <w:bottom w:color="000000" w:space="0" w:sz="6"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A">
            <w:pPr>
              <w:ind w:left="100" w:firstLine="0"/>
              <w:jc w:val="center"/>
              <w:rPr/>
            </w:pPr>
            <w:r w:rsidDel="00000000" w:rsidR="00000000" w:rsidRPr="00000000">
              <w:rPr>
                <w:rtl w:val="0"/>
              </w:rPr>
              <w:t xml:space="preserve">AEM</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B">
            <w:pPr>
              <w:ind w:left="100" w:firstLine="0"/>
              <w:rPr/>
            </w:pPr>
            <w:r w:rsidDel="00000000" w:rsidR="00000000" w:rsidRPr="00000000">
              <w:rPr>
                <w:rtl w:val="0"/>
              </w:rPr>
              <w:t xml:space="preserve">SDG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C">
            <w:pPr>
              <w:ind w:left="100" w:firstLine="0"/>
              <w:jc w:val="right"/>
              <w:rPr/>
            </w:pPr>
            <w:r w:rsidDel="00000000" w:rsidR="00000000" w:rsidRPr="00000000">
              <w:rPr>
                <w:rtl w:val="0"/>
              </w:rPr>
              <w:t xml:space="preserve">-0.011***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D">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E">
            <w:pPr>
              <w:ind w:left="100" w:firstLine="0"/>
              <w:jc w:val="right"/>
              <w:rPr/>
            </w:pPr>
            <w:r w:rsidDel="00000000" w:rsidR="00000000" w:rsidRPr="00000000">
              <w:rPr>
                <w:rtl w:val="0"/>
              </w:rPr>
              <w:t xml:space="preserve">(0.004)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BF">
            <w:pPr>
              <w:ind w:left="100" w:firstLine="0"/>
              <w:rPr/>
            </w:pPr>
            <w:r w:rsidDel="00000000" w:rsidR="00000000" w:rsidRPr="00000000">
              <w:rPr>
                <w:rtl w:val="0"/>
              </w:rPr>
              <w:t xml:space="preserve">ROE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0">
            <w:pPr>
              <w:ind w:left="100" w:firstLine="0"/>
              <w:jc w:val="right"/>
              <w:rPr/>
            </w:pPr>
            <w:r w:rsidDel="00000000" w:rsidR="00000000" w:rsidRPr="00000000">
              <w:rPr>
                <w:rtl w:val="0"/>
              </w:rPr>
              <w:t xml:space="preserve">0.117***</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1">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2">
            <w:pPr>
              <w:ind w:left="100" w:firstLine="0"/>
              <w:jc w:val="right"/>
              <w:rPr/>
            </w:pPr>
            <w:r w:rsidDel="00000000" w:rsidR="00000000" w:rsidRPr="00000000">
              <w:rPr>
                <w:rtl w:val="0"/>
              </w:rPr>
              <w:t xml:space="preserve">(0.011)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3">
            <w:pPr>
              <w:ind w:left="100" w:firstLine="0"/>
              <w:rPr/>
            </w:pPr>
            <w:r w:rsidDel="00000000" w:rsidR="00000000" w:rsidRPr="00000000">
              <w:rPr>
                <w:rtl w:val="0"/>
              </w:rPr>
              <w:t xml:space="preserve">GROWTH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4">
            <w:pPr>
              <w:ind w:left="100" w:firstLine="0"/>
              <w:jc w:val="right"/>
              <w:rPr/>
            </w:pPr>
            <w:r w:rsidDel="00000000" w:rsidR="00000000" w:rsidRPr="00000000">
              <w:rPr>
                <w:rtl w:val="0"/>
              </w:rPr>
              <w:t xml:space="preserve">-0.003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5">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6">
            <w:pPr>
              <w:ind w:left="100" w:firstLine="0"/>
              <w:jc w:val="right"/>
              <w:rPr/>
            </w:pPr>
            <w:r w:rsidDel="00000000" w:rsidR="00000000" w:rsidRPr="00000000">
              <w:rPr>
                <w:rtl w:val="0"/>
              </w:rPr>
              <w:t xml:space="preserve">(0.003)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7">
            <w:pPr>
              <w:ind w:left="100" w:firstLine="0"/>
              <w:rPr/>
            </w:pPr>
            <w:r w:rsidDel="00000000" w:rsidR="00000000" w:rsidRPr="00000000">
              <w:rPr>
                <w:rtl w:val="0"/>
              </w:rPr>
              <w:t xml:space="preserve">AT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8">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9">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A">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B">
            <w:pPr>
              <w:ind w:left="100" w:firstLine="0"/>
              <w:rPr/>
            </w:pPr>
            <w:r w:rsidDel="00000000" w:rsidR="00000000" w:rsidRPr="00000000">
              <w:rPr>
                <w:rtl w:val="0"/>
              </w:rPr>
              <w:t xml:space="preserve">LEV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C">
            <w:pPr>
              <w:ind w:left="100" w:firstLine="0"/>
              <w:jc w:val="right"/>
              <w:rPr/>
            </w:pPr>
            <w:r w:rsidDel="00000000" w:rsidR="00000000" w:rsidRPr="00000000">
              <w:rPr>
                <w:rtl w:val="0"/>
              </w:rPr>
              <w:t xml:space="preserve">-0.003***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D">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E">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CF">
            <w:pPr>
              <w:ind w:left="100" w:firstLine="0"/>
              <w:rPr/>
            </w:pPr>
            <w:r w:rsidDel="00000000" w:rsidR="00000000" w:rsidRPr="00000000">
              <w:rPr>
                <w:rtl w:val="0"/>
              </w:rPr>
              <w:t xml:space="preserve">SIZE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0">
            <w:pPr>
              <w:ind w:left="100" w:firstLine="0"/>
              <w:jc w:val="right"/>
              <w:rPr/>
            </w:pPr>
            <w:r w:rsidDel="00000000" w:rsidR="00000000" w:rsidRPr="00000000">
              <w:rPr>
                <w:rtl w:val="0"/>
              </w:rPr>
              <w:t xml:space="preserve">0.000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1">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2">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3">
            <w:pPr>
              <w:ind w:left="100" w:firstLine="0"/>
              <w:rPr/>
            </w:pPr>
            <w:r w:rsidDel="00000000" w:rsidR="00000000" w:rsidRPr="00000000">
              <w:rPr>
                <w:rtl w:val="0"/>
              </w:rPr>
              <w:t xml:space="preserve">STATE_OWN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4">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5">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6">
            <w:pPr>
              <w:ind w:left="100" w:firstLine="0"/>
              <w:jc w:val="right"/>
              <w:rPr/>
            </w:pPr>
            <w:r w:rsidDel="00000000" w:rsidR="00000000" w:rsidRPr="00000000">
              <w:rPr>
                <w:rtl w:val="0"/>
              </w:rPr>
              <w:t xml:space="preserve">(0.002)</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7">
            <w:pPr>
              <w:ind w:left="100" w:firstLine="0"/>
              <w:rPr/>
            </w:pPr>
            <w:r w:rsidDel="00000000" w:rsidR="00000000" w:rsidRPr="00000000">
              <w:rPr>
                <w:rtl w:val="0"/>
              </w:rPr>
              <w:t xml:space="preserve">FOREIGN_OWN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8">
            <w:pPr>
              <w:ind w:left="100" w:firstLine="0"/>
              <w:jc w:val="right"/>
              <w:rPr/>
            </w:pPr>
            <w:r w:rsidDel="00000000" w:rsidR="00000000" w:rsidRPr="00000000">
              <w:rPr>
                <w:rtl w:val="0"/>
              </w:rPr>
              <w:t xml:space="preserve">0.005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9">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A">
            <w:pPr>
              <w:ind w:left="100" w:firstLine="0"/>
              <w:jc w:val="right"/>
              <w:rPr/>
            </w:pPr>
            <w:r w:rsidDel="00000000" w:rsidR="00000000" w:rsidRPr="00000000">
              <w:rPr>
                <w:rtl w:val="0"/>
              </w:rPr>
              <w:t xml:space="preserve">(0.006)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B">
            <w:pPr>
              <w:ind w:left="100" w:firstLine="0"/>
              <w:rPr/>
            </w:pPr>
            <w:r w:rsidDel="00000000" w:rsidR="00000000" w:rsidRPr="00000000">
              <w:rPr>
                <w:rtl w:val="0"/>
              </w:rPr>
              <w:t xml:space="preserve">BIG4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C">
            <w:pPr>
              <w:ind w:left="100" w:firstLine="0"/>
              <w:jc w:val="right"/>
              <w:rPr/>
            </w:pPr>
            <w:r w:rsidDel="00000000" w:rsidR="00000000" w:rsidRPr="00000000">
              <w:rPr>
                <w:rtl w:val="0"/>
              </w:rPr>
              <w:t xml:space="preserve">-0.002*</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D">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E">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DF">
            <w:pPr>
              <w:ind w:left="100" w:firstLine="0"/>
              <w:rPr/>
            </w:pPr>
            <w:r w:rsidDel="00000000" w:rsidR="00000000" w:rsidRPr="00000000">
              <w:rPr>
                <w:rtl w:val="0"/>
              </w:rPr>
              <w:t xml:space="preserve">AGE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0">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1">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2">
            <w:pPr>
              <w:ind w:left="100" w:firstLine="0"/>
              <w:jc w:val="right"/>
              <w:rPr/>
            </w:pPr>
            <w:r w:rsidDel="00000000" w:rsidR="00000000" w:rsidRPr="00000000">
              <w:rPr>
                <w:rtl w:val="0"/>
              </w:rPr>
              <w:t xml:space="preserve">(0.001)</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3">
            <w:pPr>
              <w:ind w:left="100" w:firstLine="0"/>
              <w:rPr/>
            </w:pPr>
            <w:r w:rsidDel="00000000" w:rsidR="00000000" w:rsidRPr="00000000">
              <w:rPr>
                <w:rtl w:val="0"/>
              </w:rPr>
              <w:t xml:space="preserve">LOSS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4">
            <w:pPr>
              <w:ind w:left="100" w:firstLine="0"/>
              <w:jc w:val="right"/>
              <w:rPr/>
            </w:pPr>
            <w:r w:rsidDel="00000000" w:rsidR="00000000" w:rsidRPr="00000000">
              <w:rPr>
                <w:rtl w:val="0"/>
              </w:rPr>
              <w:t xml:space="preserve">0.055***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5">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6">
            <w:pPr>
              <w:ind w:left="100" w:firstLine="0"/>
              <w:jc w:val="right"/>
              <w:rPr/>
            </w:pPr>
            <w:r w:rsidDel="00000000" w:rsidR="00000000" w:rsidRPr="00000000">
              <w:rPr>
                <w:rtl w:val="0"/>
              </w:rPr>
              <w:t xml:space="preserve">(0.004)</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7">
            <w:pPr>
              <w:ind w:left="100" w:firstLine="0"/>
              <w:rPr/>
            </w:pPr>
            <w:r w:rsidDel="00000000" w:rsidR="00000000" w:rsidRPr="00000000">
              <w:rPr>
                <w:rtl w:val="0"/>
              </w:rPr>
              <w:t xml:space="preserve">IA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8">
            <w:pPr>
              <w:ind w:left="100" w:firstLine="0"/>
              <w:jc w:val="right"/>
              <w:rPr/>
            </w:pPr>
            <w:r w:rsidDel="00000000" w:rsidR="00000000" w:rsidRPr="00000000">
              <w:rPr>
                <w:rtl w:val="0"/>
              </w:rPr>
              <w:t xml:space="preserve">-0.005</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9">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A">
            <w:pPr>
              <w:ind w:left="100" w:firstLine="0"/>
              <w:jc w:val="right"/>
              <w:rPr/>
            </w:pPr>
            <w:r w:rsidDel="00000000" w:rsidR="00000000" w:rsidRPr="00000000">
              <w:rPr>
                <w:rtl w:val="0"/>
              </w:rPr>
              <w:t xml:space="preserve">(0.008)</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B">
            <w:pPr>
              <w:ind w:left="100" w:firstLine="0"/>
              <w:rPr/>
            </w:pPr>
            <w:r w:rsidDel="00000000" w:rsidR="00000000" w:rsidRPr="00000000">
              <w:rPr>
                <w:rtl w:val="0"/>
              </w:rPr>
              <w:t xml:space="preserve">MTB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C">
            <w:pPr>
              <w:ind w:left="100" w:firstLine="0"/>
              <w:jc w:val="right"/>
              <w:rPr/>
            </w:pPr>
            <w:r w:rsidDel="00000000" w:rsidR="00000000" w:rsidRPr="00000000">
              <w:rPr>
                <w:rtl w:val="0"/>
              </w:rPr>
              <w:t xml:space="preserve">0.000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D">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E">
            <w:pPr>
              <w:ind w:left="100" w:firstLine="0"/>
              <w:jc w:val="right"/>
              <w:rPr/>
            </w:pPr>
            <w:r w:rsidDel="00000000" w:rsidR="00000000" w:rsidRPr="00000000">
              <w:rPr>
                <w:rtl w:val="0"/>
              </w:rPr>
              <w:t xml:space="preserve">(0.000)</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EF">
            <w:pPr>
              <w:ind w:left="100" w:firstLine="0"/>
              <w:rPr/>
            </w:pPr>
            <w:r w:rsidDel="00000000" w:rsidR="00000000" w:rsidRPr="00000000">
              <w:rPr>
                <w:rtl w:val="0"/>
              </w:rPr>
              <w:t xml:space="preserve">_cons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0">
            <w:pPr>
              <w:ind w:left="100" w:firstLine="0"/>
              <w:jc w:val="right"/>
              <w:rPr/>
            </w:pPr>
            <w:r w:rsidDel="00000000" w:rsidR="00000000" w:rsidRPr="00000000">
              <w:rPr>
                <w:rtl w:val="0"/>
              </w:rPr>
              <w:t xml:space="preserve">0.022</w:t>
            </w:r>
          </w:p>
        </w:tc>
      </w:tr>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1">
            <w:pPr>
              <w:spacing w:line="360" w:lineRule="auto"/>
              <w:ind w:left="100"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2">
            <w:pPr>
              <w:ind w:left="100" w:firstLine="0"/>
              <w:jc w:val="right"/>
              <w:rPr/>
            </w:pPr>
            <w:r w:rsidDel="00000000" w:rsidR="00000000" w:rsidRPr="00000000">
              <w:rPr>
                <w:rtl w:val="0"/>
              </w:rPr>
              <w:t xml:space="preserve">(0.014)</w:t>
            </w:r>
          </w:p>
        </w:tc>
      </w:tr>
      <w:tr>
        <w:trPr>
          <w:cantSplit w:val="0"/>
          <w:trHeight w:val="50" w:hRule="atLeast"/>
          <w:tblHeader w:val="0"/>
        </w:trPr>
        <w:tc>
          <w:tcPr>
            <w:tcBorders>
              <w:top w:color="000000" w:space="0" w:sz="6" w:val="single"/>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3">
            <w:pPr>
              <w:ind w:left="100" w:firstLine="0"/>
              <w:rPr/>
            </w:pPr>
            <w:r w:rsidDel="00000000" w:rsidR="00000000" w:rsidRPr="00000000">
              <w:rPr>
                <w:rtl w:val="0"/>
              </w:rPr>
              <w:t xml:space="preserve">N</w:t>
            </w:r>
          </w:p>
        </w:tc>
        <w:tc>
          <w:tcPr>
            <w:tcBorders>
              <w:top w:color="000000" w:space="0" w:sz="6" w:val="single"/>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4">
            <w:pPr>
              <w:ind w:left="100" w:firstLine="0"/>
              <w:jc w:val="right"/>
              <w:rPr/>
            </w:pPr>
            <w:r w:rsidDel="00000000" w:rsidR="00000000" w:rsidRPr="00000000">
              <w:rPr>
                <w:rtl w:val="0"/>
              </w:rPr>
              <w:t xml:space="preserve">3021</w:t>
            </w:r>
          </w:p>
        </w:tc>
      </w:tr>
      <w:tr>
        <w:trPr>
          <w:cantSplit w:val="0"/>
          <w:trHeight w:val="230" w:hRule="atLeast"/>
          <w:tblHeader w:val="0"/>
        </w:trPr>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5">
            <w:pPr>
              <w:ind w:left="100" w:firstLine="0"/>
              <w:rPr/>
            </w:pPr>
            <w:r w:rsidDel="00000000" w:rsidR="00000000" w:rsidRPr="00000000">
              <w:rPr>
                <w:rtl w:val="0"/>
              </w:rPr>
              <w:t xml:space="preserve">r2</w:t>
            </w:r>
          </w:p>
          <w:p w:rsidR="00000000" w:rsidDel="00000000" w:rsidP="00000000" w:rsidRDefault="00000000" w:rsidRPr="00000000" w14:paraId="000001F6">
            <w:pPr>
              <w:ind w:left="100" w:firstLine="0"/>
              <w:rPr/>
            </w:pPr>
            <w:r w:rsidDel="00000000" w:rsidR="00000000" w:rsidRPr="00000000">
              <w:rPr>
                <w:rtl w:val="0"/>
              </w:rPr>
              <w:t xml:space="preserve">Year FE</w:t>
            </w:r>
          </w:p>
          <w:p w:rsidR="00000000" w:rsidDel="00000000" w:rsidP="00000000" w:rsidRDefault="00000000" w:rsidRPr="00000000" w14:paraId="000001F7">
            <w:pPr>
              <w:ind w:left="100" w:firstLine="0"/>
              <w:rPr/>
            </w:pPr>
            <w:r w:rsidDel="00000000" w:rsidR="00000000" w:rsidRPr="00000000">
              <w:rPr>
                <w:rtl w:val="0"/>
              </w:rPr>
              <w:t xml:space="preserve">Industry FE</w:t>
            </w:r>
          </w:p>
        </w:tc>
        <w:tc>
          <w:tcPr>
            <w:tcBorders>
              <w:top w:color="000000" w:space="0" w:sz="0" w:val="nil"/>
              <w:left w:color="000000" w:space="0" w:sz="0" w:val="nil"/>
              <w:bottom w:color="000000" w:space="0" w:sz="6" w:val="single"/>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8">
            <w:pPr>
              <w:ind w:left="100" w:firstLine="0"/>
              <w:jc w:val="right"/>
              <w:rPr/>
            </w:pPr>
            <w:r w:rsidDel="00000000" w:rsidR="00000000" w:rsidRPr="00000000">
              <w:rPr>
                <w:rtl w:val="0"/>
              </w:rPr>
              <w:t xml:space="preserve">0.161</w:t>
            </w:r>
          </w:p>
          <w:p w:rsidR="00000000" w:rsidDel="00000000" w:rsidP="00000000" w:rsidRDefault="00000000" w:rsidRPr="00000000" w14:paraId="000001F9">
            <w:pPr>
              <w:ind w:left="100" w:firstLine="0"/>
              <w:jc w:val="right"/>
              <w:rPr/>
            </w:pPr>
            <w:r w:rsidDel="00000000" w:rsidR="00000000" w:rsidRPr="00000000">
              <w:rPr>
                <w:rtl w:val="0"/>
              </w:rPr>
              <w:t xml:space="preserve">YES</w:t>
            </w:r>
          </w:p>
          <w:p w:rsidR="00000000" w:rsidDel="00000000" w:rsidP="00000000" w:rsidRDefault="00000000" w:rsidRPr="00000000" w14:paraId="000001FA">
            <w:pPr>
              <w:ind w:left="100" w:firstLine="0"/>
              <w:jc w:val="right"/>
              <w:rPr/>
            </w:pPr>
            <w:r w:rsidDel="00000000" w:rsidR="00000000" w:rsidRPr="00000000">
              <w:rPr>
                <w:rtl w:val="0"/>
              </w:rPr>
              <w:t xml:space="preserve">YES</w:t>
            </w:r>
          </w:p>
        </w:tc>
      </w:tr>
      <w:tr>
        <w:trPr>
          <w:cantSplit w:val="0"/>
          <w:trHeight w:val="285"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B">
            <w:pPr>
              <w:ind w:left="100" w:firstLine="0"/>
              <w:rPr>
                <w:i w:val="1"/>
                <w:iCs w:val="1"/>
              </w:rPr>
            </w:pPr>
            <w:r w:rsidDel="00000000" w:rsidR="00000000" w:rsidRPr="00000000">
              <w:rPr>
                <w:i w:val="1"/>
                <w:iCs w:val="1"/>
                <w:rtl w:val="0"/>
              </w:rPr>
              <w:t xml:space="preserve">Standard errors in parentheses</w:t>
            </w:r>
          </w:p>
        </w:tc>
      </w:tr>
      <w:tr>
        <w:trPr>
          <w:cantSplit w:val="0"/>
          <w:trHeight w:val="285"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1FD">
            <w:pPr>
              <w:ind w:left="100" w:firstLine="0"/>
              <w:rPr>
                <w:i w:val="1"/>
                <w:iCs w:val="1"/>
              </w:rPr>
            </w:pPr>
            <w:r w:rsidDel="00000000" w:rsidR="00000000" w:rsidRPr="00000000">
              <w:rPr>
                <w:i w:val="1"/>
                <w:iCs w:val="1"/>
                <w:rtl w:val="0"/>
              </w:rPr>
              <w:t xml:space="preserve">* p &lt; 0.10, ** p &lt; 0.05, *** p &lt; 0.01</w:t>
            </w:r>
          </w:p>
        </w:tc>
      </w:tr>
    </w:tbl>
    <w:p w:rsidR="00000000" w:rsidDel="00000000" w:rsidP="00000000" w:rsidRDefault="00000000" w:rsidRPr="00000000" w14:paraId="000001FF">
      <w:pPr>
        <w:spacing w:after="120" w:line="288" w:lineRule="auto"/>
        <w:ind w:firstLine="426"/>
        <w:rPr>
          <w:sz w:val="24"/>
          <w:szCs w:val="24"/>
        </w:rPr>
      </w:pPr>
      <w:r w:rsidDel="00000000" w:rsidR="00000000" w:rsidRPr="00000000">
        <w:rPr>
          <w:rtl w:val="0"/>
        </w:rPr>
      </w:r>
    </w:p>
    <w:p w:rsidR="00000000" w:rsidDel="00000000" w:rsidP="00000000" w:rsidRDefault="00000000" w:rsidRPr="00000000" w14:paraId="00000200">
      <w:pPr>
        <w:spacing w:after="120" w:line="288" w:lineRule="auto"/>
        <w:ind w:firstLine="426"/>
        <w:rPr>
          <w:sz w:val="24"/>
          <w:szCs w:val="24"/>
        </w:rPr>
      </w:pPr>
      <w:sdt>
        <w:sdtPr>
          <w:id w:val="-1980567467"/>
          <w:tag w:val="goog_rdk_0"/>
        </w:sdtPr>
        <w:sdtContent>
          <w:r w:rsidDel="00000000" w:rsidR="00000000" w:rsidRPr="00000000">
            <w:rPr>
              <w:rFonts w:ascii="Cardo" w:cs="Cardo" w:eastAsia="Cardo" w:hAnsi="Cardo"/>
              <w:sz w:val="24"/>
              <w:szCs w:val="24"/>
              <w:rtl w:val="0"/>
            </w:rPr>
            <w:t xml:space="preserve">SDG disclosure is negatively and significantly associated with earnings management (β = −0.011, p = 0.004). This result suggests that firms with higher levels of SDG-related disclosure exhibit lower discretionary accruals. From a stakeholder and legitimacy perspective, this finding suggests that greater sustainability disclosure increases a firm’s visibility to investors and other stakeholders. Higher visibility is likely to attract more scrutiny, which can limit managerial discretion in financial reporting. Importantly, the negative association implies that SDG disclosure is not merely symbolic in this context. Instead, it is associated with observable differences in financial reporting outcomes.</w:t>
          </w:r>
        </w:sdtContent>
      </w:sdt>
    </w:p>
    <w:p w:rsidR="00000000" w:rsidDel="00000000" w:rsidP="00000000" w:rsidRDefault="00000000" w:rsidRPr="00000000" w14:paraId="00000201">
      <w:pPr>
        <w:spacing w:after="120" w:line="288" w:lineRule="auto"/>
        <w:ind w:firstLine="426"/>
        <w:rPr>
          <w:sz w:val="24"/>
          <w:szCs w:val="24"/>
        </w:rPr>
      </w:pPr>
      <w:sdt>
        <w:sdtPr>
          <w:id w:val="2007034776"/>
          <w:tag w:val="goog_rdk_1"/>
        </w:sdtPr>
        <w:sdtContent>
          <w:r w:rsidDel="00000000" w:rsidR="00000000" w:rsidRPr="00000000">
            <w:rPr>
              <w:rFonts w:ascii="Cardo" w:cs="Cardo" w:eastAsia="Cardo" w:hAnsi="Cardo"/>
              <w:sz w:val="24"/>
              <w:szCs w:val="24"/>
              <w:rtl w:val="0"/>
            </w:rPr>
            <w:t xml:space="preserve">Among the control variables, profitability (ROE) shows a positive and statistically significant association with earnings management (β = 0.117, p &lt; 0.01), suggesting that more profitable firms may have stronger incentives to manage earnings, potentially to smooth performance or meet benchmarks. The LOSS indicator is also positive and significant (β = 0.055, p &lt; 0.01), indicating higher earnings management among loss-making firms, which is consistent with incentives to avoid reporting poor performance. In contrast, financial leverage (LEV) is negatively and significantly related to earnings management (β = −0.003, p = 0.001), supporting the notion that debt-related monitoring constrains managerial discretion.</w:t>
          </w:r>
        </w:sdtContent>
      </w:sdt>
    </w:p>
    <w:p w:rsidR="00000000" w:rsidDel="00000000" w:rsidP="00000000" w:rsidRDefault="00000000" w:rsidRPr="00000000" w14:paraId="00000202">
      <w:pPr>
        <w:spacing w:after="120" w:line="288" w:lineRule="auto"/>
        <w:ind w:firstLine="426"/>
        <w:rPr>
          <w:sz w:val="24"/>
          <w:szCs w:val="24"/>
        </w:rPr>
      </w:pPr>
      <w:r w:rsidDel="00000000" w:rsidR="00000000" w:rsidRPr="00000000">
        <w:rPr>
          <w:sz w:val="24"/>
          <w:szCs w:val="24"/>
          <w:rtl w:val="0"/>
        </w:rPr>
        <w:t xml:space="preserve">The coefficient on BIG4 is negative and marginally significant at the 10% level, providing weak evidence that higher-quality external auditing may be associated with lower earnings management. Other firm-level characteristics, including firm size, asset turnover, growth opportunities, ownership structure, firm age, market-to-book ratio, and independent audit characteristics, are not statistically significant in the baseline model.</w:t>
      </w:r>
    </w:p>
    <w:p w:rsidR="00000000" w:rsidDel="00000000" w:rsidP="00000000" w:rsidRDefault="00000000" w:rsidRPr="00000000" w14:paraId="00000203">
      <w:pPr>
        <w:spacing w:after="120" w:line="288" w:lineRule="auto"/>
        <w:ind w:firstLine="426"/>
        <w:rPr>
          <w:sz w:val="24"/>
          <w:szCs w:val="24"/>
        </w:rPr>
      </w:pPr>
      <w:r w:rsidDel="00000000" w:rsidR="00000000" w:rsidRPr="00000000">
        <w:rPr>
          <w:sz w:val="24"/>
          <w:szCs w:val="24"/>
          <w:rtl w:val="0"/>
        </w:rPr>
        <w:t xml:space="preserve">Overall, the combined results suggest that SDG disclosure is associated with improved financial reporting quality in the Vietnamese context. This evidence contrasts with agency-based arguments that sustainability disclosure may be used opportunistically to obscure financial reporting practices, and instead supports the view that SDG disclosure functions as a governance-related signal in an emerging market where sustainability reporting is largely voluntary and institutional enforcement remains evolving. While the analysis does not establish causality, the findings contribute firm-level evidence on the role of SDG disclosure in shaping earnings management behavior.</w:t>
      </w:r>
    </w:p>
    <w:p w:rsidR="00000000" w:rsidDel="00000000" w:rsidP="00000000" w:rsidRDefault="00000000" w:rsidRPr="00000000" w14:paraId="00000204">
      <w:pPr>
        <w:pStyle w:val="Heading1"/>
        <w:spacing w:after="120" w:line="288" w:lineRule="auto"/>
        <w:rPr>
          <w:sz w:val="24"/>
          <w:szCs w:val="24"/>
        </w:rPr>
      </w:pPr>
      <w:bookmarkStart w:colFirst="0" w:colLast="0" w:name="_heading=h.h7iboe3rpdii" w:id="16"/>
      <w:bookmarkEnd w:id="16"/>
      <w:r w:rsidDel="00000000" w:rsidR="00000000" w:rsidRPr="00000000">
        <w:rPr>
          <w:sz w:val="24"/>
          <w:szCs w:val="24"/>
          <w:rtl w:val="0"/>
        </w:rPr>
        <w:t xml:space="preserve">5. Conclusion</w:t>
      </w:r>
    </w:p>
    <w:p w:rsidR="00000000" w:rsidDel="00000000" w:rsidP="00000000" w:rsidRDefault="00000000" w:rsidRPr="00000000" w14:paraId="00000205">
      <w:pPr>
        <w:spacing w:after="120" w:line="288" w:lineRule="auto"/>
        <w:ind w:firstLine="426"/>
        <w:rPr>
          <w:sz w:val="24"/>
          <w:szCs w:val="24"/>
        </w:rPr>
      </w:pPr>
      <w:r w:rsidDel="00000000" w:rsidR="00000000" w:rsidRPr="00000000">
        <w:rPr>
          <w:sz w:val="24"/>
          <w:szCs w:val="24"/>
          <w:rtl w:val="0"/>
        </w:rPr>
        <w:t xml:space="preserve">This study provides evidence that corporate SDG disclosure is negatively and significantly associated with accrual-based earnings management, supporting the view that sustainability-oriented disclosure constrains managerial opportunism. The findings suggest that greater transparency related to sustainable development increases external monitoring and reduces managers’ discretion in financial reporting, consistent with agency and stakeholder theories. Among the control variables, profitability and loss status are positively related to earnings management, while financial leverage exhibits a disciplining effect, indicating the role of debt-related monitoring. Although the model explains a modest proportion of the variation in earnings management, the results highlight the governance role of SDG disclosure in enhancing reporting quality. </w:t>
      </w:r>
    </w:p>
    <w:p w:rsidR="00000000" w:rsidDel="00000000" w:rsidP="00000000" w:rsidRDefault="00000000" w:rsidRPr="00000000" w14:paraId="00000206">
      <w:pPr>
        <w:spacing w:after="120" w:line="288" w:lineRule="auto"/>
        <w:ind w:firstLine="426"/>
        <w:rPr>
          <w:sz w:val="24"/>
          <w:szCs w:val="24"/>
        </w:rPr>
      </w:pPr>
      <w:r w:rsidDel="00000000" w:rsidR="00000000" w:rsidRPr="00000000">
        <w:rPr>
          <w:sz w:val="24"/>
          <w:szCs w:val="24"/>
          <w:rtl w:val="0"/>
        </w:rPr>
        <w:t xml:space="preserve">This study contributes to the limited empirical literature on SDG disclosure and earnings management in emerging markets by providing firm-level evidence from Vietnam, where sustainability reporting remains largely voluntary and institutional enforcement is still evolving. The findings offer implications for firms, investors, and regulators by underscoring the relevance of SDG disclosure in promoting transparency and reporting credibility. Nevertheless, the study is subject to several limitations, including its focus on accrual-based earnings management, potential measurement constraints in the SDG disclosure score, and its single-country setting. Future research may extend this analysis by employing alternative earnings management measures, more refined disclosure metrics, and cross-country comparisons.</w:t>
      </w:r>
    </w:p>
    <w:p w:rsidR="00000000" w:rsidDel="00000000" w:rsidP="00000000" w:rsidRDefault="00000000" w:rsidRPr="00000000" w14:paraId="00000207">
      <w:pPr>
        <w:spacing w:after="120" w:line="288" w:lineRule="auto"/>
        <w:rPr>
          <w:b w:val="1"/>
          <w:bCs w:val="1"/>
          <w:sz w:val="24"/>
          <w:szCs w:val="24"/>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208">
      <w:pPr>
        <w:spacing w:line="360" w:lineRule="auto"/>
        <w:ind w:left="566" w:hanging="570"/>
        <w:rPr>
          <w:color w:val="1155cc"/>
          <w:sz w:val="24"/>
          <w:szCs w:val="24"/>
          <w:u w:val="single"/>
        </w:rPr>
      </w:pPr>
      <w:r w:rsidDel="00000000" w:rsidR="00000000" w:rsidRPr="00000000">
        <w:rPr>
          <w:sz w:val="24"/>
          <w:szCs w:val="24"/>
          <w:rtl w:val="0"/>
        </w:rPr>
        <w:t xml:space="preserve">Al Lawati, H., &amp; Hussainey, K. (2022). Does sustainable development goals disclosure affect corporate financial performance? </w:t>
      </w:r>
      <w:r w:rsidDel="00000000" w:rsidR="00000000" w:rsidRPr="00000000">
        <w:rPr>
          <w:i w:val="1"/>
          <w:iCs w:val="1"/>
          <w:sz w:val="24"/>
          <w:szCs w:val="24"/>
          <w:rtl w:val="0"/>
        </w:rPr>
        <w:t xml:space="preserve">Sustainability, 14</w:t>
      </w:r>
      <w:r w:rsidDel="00000000" w:rsidR="00000000" w:rsidRPr="00000000">
        <w:rPr>
          <w:sz w:val="24"/>
          <w:szCs w:val="24"/>
          <w:rtl w:val="0"/>
        </w:rPr>
        <w:t xml:space="preserve">(13), 7815.</w:t>
      </w:r>
      <w:r w:rsidDel="00000000" w:rsidR="00000000" w:rsidRPr="00000000">
        <w:rPr>
          <w:color w:val="0070c0"/>
          <w:sz w:val="24"/>
          <w:szCs w:val="24"/>
          <w:rtl w:val="0"/>
        </w:rPr>
        <w:t xml:space="preserve"> </w:t>
      </w:r>
      <w:hyperlink r:id="rId9">
        <w:r w:rsidDel="00000000" w:rsidR="00000000" w:rsidRPr="00000000">
          <w:rPr>
            <w:color w:val="0070c0"/>
            <w:sz w:val="24"/>
            <w:szCs w:val="24"/>
            <w:u w:val="single"/>
            <w:rtl w:val="0"/>
          </w:rPr>
          <w:t xml:space="preserve">https://doi.org/10.3390/su14137815</w:t>
        </w:r>
      </w:hyperlink>
      <w:r w:rsidDel="00000000" w:rsidR="00000000" w:rsidRPr="00000000">
        <w:rPr>
          <w:rtl w:val="0"/>
        </w:rPr>
      </w:r>
    </w:p>
    <w:p w:rsidR="00000000" w:rsidDel="00000000" w:rsidP="00000000" w:rsidRDefault="00000000" w:rsidRPr="00000000" w14:paraId="00000209">
      <w:pPr>
        <w:spacing w:line="360" w:lineRule="auto"/>
        <w:ind w:left="566" w:hanging="570"/>
        <w:rPr>
          <w:color w:val="1155cc"/>
          <w:sz w:val="24"/>
          <w:szCs w:val="24"/>
          <w:u w:val="single"/>
        </w:rPr>
      </w:pPr>
      <w:r w:rsidDel="00000000" w:rsidR="00000000" w:rsidRPr="00000000">
        <w:rPr>
          <w:sz w:val="24"/>
          <w:szCs w:val="24"/>
          <w:rtl w:val="0"/>
        </w:rPr>
        <w:t xml:space="preserve">Almubarak, W. I., Chebbi, K., &amp; Ammer, M. A. (2023). Unveiling the connection among ESG, earnings management, and financial distress: Insights from an emerging market. </w:t>
      </w:r>
      <w:r w:rsidDel="00000000" w:rsidR="00000000" w:rsidRPr="00000000">
        <w:rPr>
          <w:i w:val="1"/>
          <w:iCs w:val="1"/>
          <w:sz w:val="24"/>
          <w:szCs w:val="24"/>
          <w:rtl w:val="0"/>
        </w:rPr>
        <w:t xml:space="preserve">Sustainability, 15</w:t>
      </w:r>
      <w:r w:rsidDel="00000000" w:rsidR="00000000" w:rsidRPr="00000000">
        <w:rPr>
          <w:sz w:val="24"/>
          <w:szCs w:val="24"/>
          <w:rtl w:val="0"/>
        </w:rPr>
        <w:t xml:space="preserve">(16), 12348. </w:t>
      </w:r>
      <w:hyperlink r:id="rId10">
        <w:r w:rsidDel="00000000" w:rsidR="00000000" w:rsidRPr="00000000">
          <w:rPr>
            <w:color w:val="0070c0"/>
            <w:sz w:val="24"/>
            <w:szCs w:val="24"/>
            <w:u w:val="single"/>
            <w:rtl w:val="0"/>
          </w:rPr>
          <w:t xml:space="preserve">https://doi.org/10.3390/su151612348</w:t>
        </w:r>
      </w:hyperlink>
      <w:r w:rsidDel="00000000" w:rsidR="00000000" w:rsidRPr="00000000">
        <w:rPr>
          <w:rtl w:val="0"/>
        </w:rPr>
      </w:r>
    </w:p>
    <w:p w:rsidR="00000000" w:rsidDel="00000000" w:rsidP="00000000" w:rsidRDefault="00000000" w:rsidRPr="00000000" w14:paraId="0000020A">
      <w:pPr>
        <w:spacing w:line="360" w:lineRule="auto"/>
        <w:ind w:left="566" w:hanging="570"/>
        <w:rPr>
          <w:color w:val="1155cc"/>
          <w:sz w:val="24"/>
          <w:szCs w:val="24"/>
          <w:u w:val="single"/>
        </w:rPr>
      </w:pPr>
      <w:r w:rsidDel="00000000" w:rsidR="00000000" w:rsidRPr="00000000">
        <w:rPr>
          <w:sz w:val="24"/>
          <w:szCs w:val="24"/>
          <w:rtl w:val="0"/>
        </w:rPr>
        <w:t xml:space="preserve">Alodat, A. Y., Amosh, H. A., &amp; Alorayni, O. (2023). Does corporate sustainability disclosure mitigate earnings management? Empirical evidence from Jordan. </w:t>
      </w:r>
      <w:r w:rsidDel="00000000" w:rsidR="00000000" w:rsidRPr="00000000">
        <w:rPr>
          <w:i w:val="1"/>
          <w:iCs w:val="1"/>
          <w:sz w:val="24"/>
          <w:szCs w:val="24"/>
          <w:rtl w:val="0"/>
        </w:rPr>
        <w:t xml:space="preserve">International Journal of Disclosure and Governance, 21</w:t>
      </w:r>
      <w:r w:rsidDel="00000000" w:rsidR="00000000" w:rsidRPr="00000000">
        <w:rPr>
          <w:sz w:val="24"/>
          <w:szCs w:val="24"/>
          <w:rtl w:val="0"/>
        </w:rPr>
        <w:t xml:space="preserve">(1), 165–174. </w:t>
      </w:r>
      <w:hyperlink r:id="rId11">
        <w:r w:rsidDel="00000000" w:rsidR="00000000" w:rsidRPr="00000000">
          <w:rPr>
            <w:color w:val="0070c0"/>
            <w:sz w:val="24"/>
            <w:szCs w:val="24"/>
            <w:u w:val="single"/>
            <w:rtl w:val="0"/>
          </w:rPr>
          <w:t xml:space="preserve">https://doi.org/10.1057/s41310-023-00213-4</w:t>
        </w:r>
      </w:hyperlink>
      <w:r w:rsidDel="00000000" w:rsidR="00000000" w:rsidRPr="00000000">
        <w:rPr>
          <w:rtl w:val="0"/>
        </w:rPr>
      </w:r>
    </w:p>
    <w:p w:rsidR="00000000" w:rsidDel="00000000" w:rsidP="00000000" w:rsidRDefault="00000000" w:rsidRPr="00000000" w14:paraId="0000020B">
      <w:pPr>
        <w:spacing w:line="360" w:lineRule="auto"/>
        <w:ind w:left="566" w:hanging="570"/>
        <w:rPr>
          <w:sz w:val="24"/>
          <w:szCs w:val="24"/>
        </w:rPr>
      </w:pPr>
      <w:r w:rsidDel="00000000" w:rsidR="00000000" w:rsidRPr="00000000">
        <w:rPr>
          <w:sz w:val="24"/>
          <w:szCs w:val="24"/>
          <w:rtl w:val="0"/>
        </w:rPr>
        <w:t xml:space="preserve">Antolín-López, R., Delgado-Ceballos, J., &amp; Montiel, I. (2016). Deconstructing corporate sustainability: a comparison of different stakeholder metrics. Journal of Cleaner Production, 136, 5–17. </w:t>
      </w:r>
      <w:hyperlink r:id="rId12">
        <w:r w:rsidDel="00000000" w:rsidR="00000000" w:rsidRPr="00000000">
          <w:rPr>
            <w:color w:val="0070c0"/>
            <w:sz w:val="24"/>
            <w:szCs w:val="24"/>
            <w:u w:val="single"/>
            <w:rtl w:val="0"/>
          </w:rPr>
          <w:t xml:space="preserve">https://doi.org/10.1016/j.jclepro.2016.01.111</w:t>
        </w:r>
      </w:hyperlink>
      <w:r w:rsidDel="00000000" w:rsidR="00000000" w:rsidRPr="00000000">
        <w:rPr>
          <w:rtl w:val="0"/>
        </w:rPr>
      </w:r>
    </w:p>
    <w:p w:rsidR="00000000" w:rsidDel="00000000" w:rsidP="00000000" w:rsidRDefault="00000000" w:rsidRPr="00000000" w14:paraId="0000020C">
      <w:pPr>
        <w:spacing w:line="360" w:lineRule="auto"/>
        <w:ind w:left="566" w:hanging="570"/>
        <w:rPr>
          <w:sz w:val="24"/>
          <w:szCs w:val="24"/>
        </w:rPr>
      </w:pPr>
      <w:r w:rsidDel="00000000" w:rsidR="00000000" w:rsidRPr="00000000">
        <w:rPr>
          <w:sz w:val="24"/>
          <w:szCs w:val="24"/>
          <w:rtl w:val="0"/>
        </w:rPr>
        <w:t xml:space="preserve">Asian Development Bank. (2014). ASEAN corporate governance scorecard country reports and assessments.</w:t>
      </w:r>
    </w:p>
    <w:p w:rsidR="00000000" w:rsidDel="00000000" w:rsidP="00000000" w:rsidRDefault="00000000" w:rsidRPr="00000000" w14:paraId="0000020D">
      <w:pPr>
        <w:spacing w:line="360" w:lineRule="auto"/>
        <w:ind w:left="566" w:hanging="570"/>
        <w:rPr>
          <w:sz w:val="24"/>
          <w:szCs w:val="24"/>
        </w:rPr>
      </w:pPr>
      <w:r w:rsidDel="00000000" w:rsidR="00000000" w:rsidRPr="00000000">
        <w:rPr>
          <w:sz w:val="24"/>
          <w:szCs w:val="24"/>
          <w:rtl w:val="0"/>
        </w:rPr>
        <w:t xml:space="preserve">Bansal, P. (2005). Evolving sustainably: a longitudinal study of corporate sustainable development. Strategic Management Journal, 26(3), 197–218.</w:t>
      </w:r>
    </w:p>
    <w:p w:rsidR="00000000" w:rsidDel="00000000" w:rsidP="00000000" w:rsidRDefault="00000000" w:rsidRPr="00000000" w14:paraId="0000020E">
      <w:pPr>
        <w:spacing w:line="360" w:lineRule="auto"/>
        <w:ind w:left="566" w:hanging="570"/>
        <w:rPr>
          <w:sz w:val="24"/>
          <w:szCs w:val="24"/>
        </w:rPr>
      </w:pPr>
      <w:r w:rsidDel="00000000" w:rsidR="00000000" w:rsidRPr="00000000">
        <w:rPr>
          <w:sz w:val="24"/>
          <w:szCs w:val="24"/>
          <w:rtl w:val="0"/>
        </w:rPr>
        <w:t xml:space="preserve">Cheng, Q., &amp; Warfield, T. D. (2005). Equity incentives and earnings management. </w:t>
      </w:r>
      <w:r w:rsidDel="00000000" w:rsidR="00000000" w:rsidRPr="00000000">
        <w:rPr>
          <w:i w:val="1"/>
          <w:iCs w:val="1"/>
          <w:sz w:val="24"/>
          <w:szCs w:val="24"/>
          <w:rtl w:val="0"/>
        </w:rPr>
        <w:t xml:space="preserve">The Accounting Review, 80</w:t>
      </w:r>
      <w:r w:rsidDel="00000000" w:rsidR="00000000" w:rsidRPr="00000000">
        <w:rPr>
          <w:sz w:val="24"/>
          <w:szCs w:val="24"/>
          <w:rtl w:val="0"/>
        </w:rPr>
        <w:t xml:space="preserve">(2), 441–476.</w:t>
      </w:r>
    </w:p>
    <w:p w:rsidR="00000000" w:rsidDel="00000000" w:rsidP="00000000" w:rsidRDefault="00000000" w:rsidRPr="00000000" w14:paraId="0000020F">
      <w:pPr>
        <w:spacing w:line="360" w:lineRule="auto"/>
        <w:ind w:left="566" w:hanging="570"/>
        <w:rPr>
          <w:color w:val="0070c0"/>
          <w:sz w:val="24"/>
          <w:szCs w:val="24"/>
        </w:rPr>
      </w:pPr>
      <w:r w:rsidDel="00000000" w:rsidR="00000000" w:rsidRPr="00000000">
        <w:rPr>
          <w:sz w:val="24"/>
          <w:szCs w:val="24"/>
          <w:rtl w:val="0"/>
        </w:rPr>
        <w:t xml:space="preserve">Choi, D., Chung, C. Y., Kim, Y.-E., Kim, Y. J., &amp; Choi, P. M. S. (2020). Sustainable Corporate Ownership Structures and Earnings Management in the Vietnamese Stock Market. Sustainability, 12(15), 6089. </w:t>
      </w:r>
      <w:hyperlink r:id="rId13">
        <w:r w:rsidDel="00000000" w:rsidR="00000000" w:rsidRPr="00000000">
          <w:rPr>
            <w:color w:val="0070c0"/>
            <w:sz w:val="24"/>
            <w:szCs w:val="24"/>
            <w:u w:val="single"/>
            <w:rtl w:val="0"/>
          </w:rPr>
          <w:t xml:space="preserve">https://doi.org/10.3390/su12156089</w:t>
        </w:r>
      </w:hyperlink>
      <w:r w:rsidDel="00000000" w:rsidR="00000000" w:rsidRPr="00000000">
        <w:rPr>
          <w:rtl w:val="0"/>
        </w:rPr>
      </w:r>
    </w:p>
    <w:p w:rsidR="00000000" w:rsidDel="00000000" w:rsidP="00000000" w:rsidRDefault="00000000" w:rsidRPr="00000000" w14:paraId="00000210">
      <w:pPr>
        <w:spacing w:line="360" w:lineRule="auto"/>
        <w:ind w:left="566" w:hanging="570"/>
        <w:rPr>
          <w:sz w:val="24"/>
          <w:szCs w:val="24"/>
        </w:rPr>
      </w:pPr>
      <w:r w:rsidDel="00000000" w:rsidR="00000000" w:rsidRPr="00000000">
        <w:rPr>
          <w:sz w:val="24"/>
          <w:szCs w:val="24"/>
          <w:rtl w:val="0"/>
        </w:rPr>
        <w:t xml:space="preserve">Chouaibi, Y., &amp; Zouari, G. (2021). The effect of corporate social responsibility practices on real earnings management: evidence from a European ESG data. International Journal of Disclosure and Governance. </w:t>
      </w:r>
      <w:hyperlink r:id="rId14">
        <w:r w:rsidDel="00000000" w:rsidR="00000000" w:rsidRPr="00000000">
          <w:rPr>
            <w:color w:val="0070c0"/>
            <w:sz w:val="24"/>
            <w:szCs w:val="24"/>
            <w:u w:val="single"/>
            <w:rtl w:val="0"/>
          </w:rPr>
          <w:t xml:space="preserve">https://doi.org/10.1057/s41310-021-00125-1</w:t>
        </w:r>
      </w:hyperlink>
      <w:r w:rsidDel="00000000" w:rsidR="00000000" w:rsidRPr="00000000">
        <w:rPr>
          <w:rtl w:val="0"/>
        </w:rPr>
      </w:r>
    </w:p>
    <w:p w:rsidR="00000000" w:rsidDel="00000000" w:rsidP="00000000" w:rsidRDefault="00000000" w:rsidRPr="00000000" w14:paraId="00000211">
      <w:pPr>
        <w:spacing w:line="360" w:lineRule="auto"/>
        <w:ind w:left="566" w:hanging="570"/>
        <w:rPr>
          <w:color w:val="1155cc"/>
          <w:sz w:val="24"/>
          <w:szCs w:val="24"/>
          <w:u w:val="single"/>
        </w:rPr>
      </w:pPr>
      <w:r w:rsidDel="00000000" w:rsidR="00000000" w:rsidRPr="00000000">
        <w:rPr>
          <w:sz w:val="24"/>
          <w:szCs w:val="24"/>
          <w:rtl w:val="0"/>
        </w:rPr>
        <w:t xml:space="preserve">Dang, A. T., &amp; Khanh, N. (2024). The impact of COVID-19 on earnings management: Empirical evidence from Vietnam. </w:t>
      </w:r>
      <w:r w:rsidDel="00000000" w:rsidR="00000000" w:rsidRPr="00000000">
        <w:rPr>
          <w:i w:val="1"/>
          <w:iCs w:val="1"/>
          <w:sz w:val="24"/>
          <w:szCs w:val="24"/>
          <w:rtl w:val="0"/>
        </w:rPr>
        <w:t xml:space="preserve">SAGE Open, 14</w:t>
      </w:r>
      <w:r w:rsidDel="00000000" w:rsidR="00000000" w:rsidRPr="00000000">
        <w:rPr>
          <w:sz w:val="24"/>
          <w:szCs w:val="24"/>
          <w:rtl w:val="0"/>
        </w:rPr>
        <w:t xml:space="preserve">(3</w:t>
      </w:r>
      <w:r w:rsidDel="00000000" w:rsidR="00000000" w:rsidRPr="00000000">
        <w:rPr>
          <w:color w:val="0070c0"/>
          <w:sz w:val="24"/>
          <w:szCs w:val="24"/>
          <w:rtl w:val="0"/>
        </w:rPr>
        <w:t xml:space="preserve">). </w:t>
      </w:r>
      <w:hyperlink r:id="rId15">
        <w:r w:rsidDel="00000000" w:rsidR="00000000" w:rsidRPr="00000000">
          <w:rPr>
            <w:color w:val="0070c0"/>
            <w:sz w:val="24"/>
            <w:szCs w:val="24"/>
            <w:u w:val="single"/>
            <w:rtl w:val="0"/>
          </w:rPr>
          <w:t xml:space="preserve">https://doi.org/10.1177/21582440241266974</w:t>
        </w:r>
      </w:hyperlink>
      <w:r w:rsidDel="00000000" w:rsidR="00000000" w:rsidRPr="00000000">
        <w:rPr>
          <w:rtl w:val="0"/>
        </w:rPr>
      </w:r>
    </w:p>
    <w:p w:rsidR="00000000" w:rsidDel="00000000" w:rsidP="00000000" w:rsidRDefault="00000000" w:rsidRPr="00000000" w14:paraId="00000212">
      <w:pPr>
        <w:spacing w:line="360" w:lineRule="auto"/>
        <w:ind w:left="566" w:hanging="570"/>
        <w:rPr>
          <w:color w:val="1155cc"/>
          <w:sz w:val="24"/>
          <w:szCs w:val="24"/>
          <w:u w:val="single"/>
        </w:rPr>
      </w:pPr>
      <w:r w:rsidDel="00000000" w:rsidR="00000000" w:rsidRPr="00000000">
        <w:rPr>
          <w:sz w:val="24"/>
          <w:szCs w:val="24"/>
          <w:rtl w:val="0"/>
        </w:rPr>
        <w:t xml:space="preserve">Dang, D. Q., Korkos, I., &amp; Wu, W. (2023). The effects of earnings management on information asymmetry and stock price synchronicity. </w:t>
      </w:r>
      <w:r w:rsidDel="00000000" w:rsidR="00000000" w:rsidRPr="00000000">
        <w:rPr>
          <w:i w:val="1"/>
          <w:iCs w:val="1"/>
          <w:sz w:val="24"/>
          <w:szCs w:val="24"/>
          <w:rtl w:val="0"/>
        </w:rPr>
        <w:t xml:space="preserve">Cogent Economics &amp; Finance, 11</w:t>
      </w:r>
      <w:r w:rsidDel="00000000" w:rsidR="00000000" w:rsidRPr="00000000">
        <w:rPr>
          <w:sz w:val="24"/>
          <w:szCs w:val="24"/>
          <w:rtl w:val="0"/>
        </w:rPr>
        <w:t xml:space="preserve">(2). </w:t>
      </w:r>
      <w:hyperlink r:id="rId16">
        <w:r w:rsidDel="00000000" w:rsidR="00000000" w:rsidRPr="00000000">
          <w:rPr>
            <w:color w:val="0070c0"/>
            <w:sz w:val="24"/>
            <w:szCs w:val="24"/>
            <w:u w:val="single"/>
            <w:rtl w:val="0"/>
          </w:rPr>
          <w:t xml:space="preserve">https://doi.org/10.1080/23322039.2023.2290359</w:t>
        </w:r>
      </w:hyperlink>
      <w:r w:rsidDel="00000000" w:rsidR="00000000" w:rsidRPr="00000000">
        <w:rPr>
          <w:rtl w:val="0"/>
        </w:rPr>
      </w:r>
    </w:p>
    <w:p w:rsidR="00000000" w:rsidDel="00000000" w:rsidP="00000000" w:rsidRDefault="00000000" w:rsidRPr="00000000" w14:paraId="00000213">
      <w:pPr>
        <w:spacing w:line="360" w:lineRule="auto"/>
        <w:ind w:left="566" w:hanging="570"/>
        <w:rPr>
          <w:color w:val="1155cc"/>
          <w:sz w:val="24"/>
          <w:szCs w:val="24"/>
          <w:u w:val="single"/>
        </w:rPr>
      </w:pPr>
      <w:r w:rsidDel="00000000" w:rsidR="00000000" w:rsidRPr="00000000">
        <w:rPr>
          <w:sz w:val="24"/>
          <w:szCs w:val="24"/>
          <w:rtl w:val="0"/>
        </w:rPr>
        <w:t xml:space="preserve">Dang, H. N., Hoang, K., Vu, V. T., &amp; Nguyen, L. V. (2021). Do socially responsible firms always disclose high-quality earnings? Evidence from an emerging socialist economy. Asian Review of Accounting, 29(3), 291–306</w:t>
      </w:r>
      <w:r w:rsidDel="00000000" w:rsidR="00000000" w:rsidRPr="00000000">
        <w:rPr>
          <w:color w:val="0070c0"/>
          <w:sz w:val="24"/>
          <w:szCs w:val="24"/>
          <w:rtl w:val="0"/>
        </w:rPr>
        <w:t xml:space="preserve">. </w:t>
      </w:r>
      <w:hyperlink r:id="rId17">
        <w:r w:rsidDel="00000000" w:rsidR="00000000" w:rsidRPr="00000000">
          <w:rPr>
            <w:color w:val="0070c0"/>
            <w:sz w:val="24"/>
            <w:szCs w:val="24"/>
            <w:u w:val="single"/>
            <w:rtl w:val="0"/>
          </w:rPr>
          <w:t xml:space="preserve">https://doi.org/10.1108/ara-11-2020-0174</w:t>
        </w:r>
      </w:hyperlink>
      <w:r w:rsidDel="00000000" w:rsidR="00000000" w:rsidRPr="00000000">
        <w:rPr>
          <w:rtl w:val="0"/>
        </w:rPr>
      </w:r>
    </w:p>
    <w:p w:rsidR="00000000" w:rsidDel="00000000" w:rsidP="00000000" w:rsidRDefault="00000000" w:rsidRPr="00000000" w14:paraId="00000214">
      <w:pPr>
        <w:spacing w:line="360" w:lineRule="auto"/>
        <w:ind w:left="566" w:hanging="570"/>
        <w:rPr>
          <w:sz w:val="24"/>
          <w:szCs w:val="24"/>
        </w:rPr>
      </w:pPr>
      <w:r w:rsidDel="00000000" w:rsidR="00000000" w:rsidRPr="00000000">
        <w:rPr>
          <w:sz w:val="24"/>
          <w:szCs w:val="24"/>
          <w:rtl w:val="0"/>
        </w:rPr>
        <w:t xml:space="preserve">Dechow, P. M., &amp; Skinner, D. J. (2000). Earnings management: Reconciling the views of accounting academics, practitioners, and regulators. </w:t>
      </w:r>
      <w:r w:rsidDel="00000000" w:rsidR="00000000" w:rsidRPr="00000000">
        <w:rPr>
          <w:i w:val="1"/>
          <w:iCs w:val="1"/>
          <w:sz w:val="24"/>
          <w:szCs w:val="24"/>
          <w:rtl w:val="0"/>
        </w:rPr>
        <w:t xml:space="preserve">Accounting Horizons, 14</w:t>
      </w:r>
      <w:r w:rsidDel="00000000" w:rsidR="00000000" w:rsidRPr="00000000">
        <w:rPr>
          <w:sz w:val="24"/>
          <w:szCs w:val="24"/>
          <w:rtl w:val="0"/>
        </w:rPr>
        <w:t xml:space="preserve">(2), 235–250.</w:t>
      </w:r>
    </w:p>
    <w:p w:rsidR="00000000" w:rsidDel="00000000" w:rsidP="00000000" w:rsidRDefault="00000000" w:rsidRPr="00000000" w14:paraId="00000215">
      <w:pPr>
        <w:spacing w:line="360" w:lineRule="auto"/>
        <w:ind w:left="566" w:hanging="570"/>
        <w:rPr>
          <w:sz w:val="24"/>
          <w:szCs w:val="24"/>
        </w:rPr>
      </w:pPr>
      <w:r w:rsidDel="00000000" w:rsidR="00000000" w:rsidRPr="00000000">
        <w:rPr>
          <w:sz w:val="24"/>
          <w:szCs w:val="24"/>
          <w:rtl w:val="0"/>
        </w:rPr>
        <w:t xml:space="preserve">Dechow, P. M., Hutton, A. P., Kim, J. H., &amp; Sloan, R. G. (2011). Detecting earnings management: A new approach. </w:t>
      </w:r>
      <w:r w:rsidDel="00000000" w:rsidR="00000000" w:rsidRPr="00000000">
        <w:rPr>
          <w:i w:val="1"/>
          <w:iCs w:val="1"/>
          <w:sz w:val="24"/>
          <w:szCs w:val="24"/>
          <w:rtl w:val="0"/>
        </w:rPr>
        <w:t xml:space="preserve">Journal of Accounting Research, 50</w:t>
      </w:r>
      <w:r w:rsidDel="00000000" w:rsidR="00000000" w:rsidRPr="00000000">
        <w:rPr>
          <w:sz w:val="24"/>
          <w:szCs w:val="24"/>
          <w:rtl w:val="0"/>
        </w:rPr>
        <w:t xml:space="preserve">(2), 275–334.</w:t>
      </w:r>
    </w:p>
    <w:p w:rsidR="00000000" w:rsidDel="00000000" w:rsidP="00000000" w:rsidRDefault="00000000" w:rsidRPr="00000000" w14:paraId="00000216">
      <w:pPr>
        <w:spacing w:line="360" w:lineRule="auto"/>
        <w:ind w:left="566" w:hanging="570"/>
        <w:rPr>
          <w:sz w:val="24"/>
          <w:szCs w:val="24"/>
        </w:rPr>
      </w:pPr>
      <w:r w:rsidDel="00000000" w:rsidR="00000000" w:rsidRPr="00000000">
        <w:rPr>
          <w:sz w:val="24"/>
          <w:szCs w:val="24"/>
          <w:rtl w:val="0"/>
        </w:rPr>
        <w:t xml:space="preserve">Degeorge, F., Patel, J., &amp; Zeckhauser, R. (1999). Earnings management to exceed thresholds. </w:t>
      </w:r>
      <w:r w:rsidDel="00000000" w:rsidR="00000000" w:rsidRPr="00000000">
        <w:rPr>
          <w:i w:val="1"/>
          <w:iCs w:val="1"/>
          <w:sz w:val="24"/>
          <w:szCs w:val="24"/>
          <w:rtl w:val="0"/>
        </w:rPr>
        <w:t xml:space="preserve">The Journal of Business, 72</w:t>
      </w:r>
      <w:r w:rsidDel="00000000" w:rsidR="00000000" w:rsidRPr="00000000">
        <w:rPr>
          <w:sz w:val="24"/>
          <w:szCs w:val="24"/>
          <w:rtl w:val="0"/>
        </w:rPr>
        <w:t xml:space="preserve">(1), 1–33.</w:t>
      </w:r>
    </w:p>
    <w:p w:rsidR="00000000" w:rsidDel="00000000" w:rsidP="00000000" w:rsidRDefault="00000000" w:rsidRPr="00000000" w14:paraId="00000217">
      <w:pPr>
        <w:spacing w:line="360" w:lineRule="auto"/>
        <w:ind w:left="566" w:hanging="570"/>
        <w:rPr>
          <w:sz w:val="24"/>
          <w:szCs w:val="24"/>
        </w:rPr>
      </w:pPr>
      <w:r w:rsidDel="00000000" w:rsidR="00000000" w:rsidRPr="00000000">
        <w:rPr>
          <w:sz w:val="24"/>
          <w:szCs w:val="24"/>
          <w:rtl w:val="0"/>
        </w:rPr>
        <w:t xml:space="preserve">Delgado-Ceballos, J., Ortiz-De-Mandojana, N., Antolín-López, R., &amp; Montiel, I. (2022b). Connecting the Sustainable Development Goals to firm-level sustainability and ESG factors: The need for double materiality. BRQ Business Research Quarterly, 26(1), 234094442211409. </w:t>
      </w:r>
      <w:hyperlink r:id="rId18">
        <w:r w:rsidDel="00000000" w:rsidR="00000000" w:rsidRPr="00000000">
          <w:rPr>
            <w:color w:val="0070c0"/>
            <w:sz w:val="24"/>
            <w:szCs w:val="24"/>
            <w:u w:val="single"/>
            <w:rtl w:val="0"/>
          </w:rPr>
          <w:t xml:space="preserve">https://doi.org/10.1177/23409444221140919</w:t>
        </w:r>
      </w:hyperlink>
      <w:r w:rsidDel="00000000" w:rsidR="00000000" w:rsidRPr="00000000">
        <w:rPr>
          <w:rtl w:val="0"/>
        </w:rPr>
      </w:r>
    </w:p>
    <w:p w:rsidR="00000000" w:rsidDel="00000000" w:rsidP="00000000" w:rsidRDefault="00000000" w:rsidRPr="00000000" w14:paraId="00000218">
      <w:pPr>
        <w:spacing w:line="360" w:lineRule="auto"/>
        <w:ind w:left="566" w:hanging="570"/>
        <w:rPr>
          <w:sz w:val="24"/>
          <w:szCs w:val="24"/>
        </w:rPr>
      </w:pPr>
      <w:r w:rsidDel="00000000" w:rsidR="00000000" w:rsidRPr="00000000">
        <w:rPr>
          <w:sz w:val="24"/>
          <w:szCs w:val="24"/>
          <w:rtl w:val="0"/>
        </w:rPr>
        <w:t xml:space="preserve">Dowling, J., &amp; Pfeffer, J. (1975). Organizational Legitimacy: Social Values and Organizational Behavior. The Pacific Sociological Review, 18(1), 122–136.</w:t>
      </w:r>
    </w:p>
    <w:p w:rsidR="00000000" w:rsidDel="00000000" w:rsidP="00000000" w:rsidRDefault="00000000" w:rsidRPr="00000000" w14:paraId="00000219">
      <w:pPr>
        <w:spacing w:line="360" w:lineRule="auto"/>
        <w:ind w:left="566" w:hanging="570"/>
        <w:rPr>
          <w:sz w:val="24"/>
          <w:szCs w:val="24"/>
        </w:rPr>
      </w:pPr>
      <w:r w:rsidDel="00000000" w:rsidR="00000000" w:rsidRPr="00000000">
        <w:rPr>
          <w:sz w:val="24"/>
          <w:szCs w:val="24"/>
          <w:rtl w:val="0"/>
        </w:rPr>
        <w:t xml:space="preserve">European Commission. (2019). Guidelines on reporting climate-related information. </w:t>
      </w:r>
      <w:hyperlink r:id="rId19">
        <w:r w:rsidDel="00000000" w:rsidR="00000000" w:rsidRPr="00000000">
          <w:rPr>
            <w:color w:val="0070c0"/>
            <w:sz w:val="24"/>
            <w:szCs w:val="24"/>
            <w:u w:val="single"/>
            <w:rtl w:val="0"/>
          </w:rPr>
          <w:t xml:space="preserve">https://ec.europa.eu/finance/docs/policy/190618-climate-related-information-reporting-guidelines_en.pdf</w:t>
        </w:r>
      </w:hyperlink>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21A">
      <w:pPr>
        <w:spacing w:line="360" w:lineRule="auto"/>
        <w:ind w:left="566" w:hanging="570"/>
        <w:rPr>
          <w:sz w:val="24"/>
          <w:szCs w:val="24"/>
        </w:rPr>
      </w:pPr>
      <w:r w:rsidDel="00000000" w:rsidR="00000000" w:rsidRPr="00000000">
        <w:rPr>
          <w:sz w:val="24"/>
          <w:szCs w:val="24"/>
          <w:rtl w:val="0"/>
        </w:rPr>
        <w:t xml:space="preserve">Gargouri, R. M., Shabou, R., &amp; Francoeur, C. (2010). The relationship between corporate social performance and earnings management. Canadian Journal of Administrative Sciences / Revue Canadienne Des Sciences de L’Administration, 27(4), 320–334</w:t>
      </w:r>
      <w:r w:rsidDel="00000000" w:rsidR="00000000" w:rsidRPr="00000000">
        <w:rPr>
          <w:color w:val="0070c0"/>
          <w:sz w:val="24"/>
          <w:szCs w:val="24"/>
          <w:rtl w:val="0"/>
        </w:rPr>
        <w:t xml:space="preserve">. </w:t>
      </w:r>
      <w:hyperlink r:id="rId20">
        <w:r w:rsidDel="00000000" w:rsidR="00000000" w:rsidRPr="00000000">
          <w:rPr>
            <w:color w:val="0070c0"/>
            <w:sz w:val="24"/>
            <w:szCs w:val="24"/>
            <w:u w:val="single"/>
            <w:rtl w:val="0"/>
          </w:rPr>
          <w:t xml:space="preserve">https://doi.org/10.1002/cjas.178</w:t>
        </w:r>
      </w:hyperlink>
      <w:r w:rsidDel="00000000" w:rsidR="00000000" w:rsidRPr="00000000">
        <w:rPr>
          <w:rtl w:val="0"/>
        </w:rPr>
      </w:r>
    </w:p>
    <w:p w:rsidR="00000000" w:rsidDel="00000000" w:rsidP="00000000" w:rsidRDefault="00000000" w:rsidRPr="00000000" w14:paraId="0000021B">
      <w:pPr>
        <w:spacing w:line="360" w:lineRule="auto"/>
        <w:ind w:left="566" w:hanging="570"/>
        <w:rPr>
          <w:color w:val="1155cc"/>
          <w:sz w:val="24"/>
          <w:szCs w:val="24"/>
          <w:u w:val="single"/>
        </w:rPr>
      </w:pPr>
      <w:r w:rsidDel="00000000" w:rsidR="00000000" w:rsidRPr="00000000">
        <w:rPr>
          <w:sz w:val="24"/>
          <w:szCs w:val="24"/>
          <w:rtl w:val="0"/>
        </w:rPr>
        <w:t xml:space="preserve">Githaiga, P. N. (2023). Sustainability reporting, board gender diversity and earnings management: Evidence from East Africa community. </w:t>
      </w:r>
      <w:r w:rsidDel="00000000" w:rsidR="00000000" w:rsidRPr="00000000">
        <w:rPr>
          <w:i w:val="1"/>
          <w:iCs w:val="1"/>
          <w:sz w:val="24"/>
          <w:szCs w:val="24"/>
          <w:rtl w:val="0"/>
        </w:rPr>
        <w:t xml:space="preserve">Journal of Business and Socio-Economic Development</w:t>
      </w:r>
      <w:r w:rsidDel="00000000" w:rsidR="00000000" w:rsidRPr="00000000">
        <w:rPr>
          <w:sz w:val="24"/>
          <w:szCs w:val="24"/>
          <w:rtl w:val="0"/>
        </w:rPr>
        <w:t xml:space="preserve">. </w:t>
      </w:r>
      <w:hyperlink r:id="rId21">
        <w:r w:rsidDel="00000000" w:rsidR="00000000" w:rsidRPr="00000000">
          <w:rPr>
            <w:color w:val="0070c0"/>
            <w:sz w:val="24"/>
            <w:szCs w:val="24"/>
            <w:u w:val="single"/>
            <w:rtl w:val="0"/>
          </w:rPr>
          <w:t xml:space="preserve">https://doi.org/10.1108/JBSED-09-2022-0099</w:t>
        </w:r>
      </w:hyperlink>
      <w:r w:rsidDel="00000000" w:rsidR="00000000" w:rsidRPr="00000000">
        <w:rPr>
          <w:rtl w:val="0"/>
        </w:rPr>
      </w:r>
    </w:p>
    <w:p w:rsidR="00000000" w:rsidDel="00000000" w:rsidP="00000000" w:rsidRDefault="00000000" w:rsidRPr="00000000" w14:paraId="0000021C">
      <w:pPr>
        <w:spacing w:line="360" w:lineRule="auto"/>
        <w:ind w:left="566" w:hanging="570"/>
        <w:rPr>
          <w:sz w:val="24"/>
          <w:szCs w:val="24"/>
        </w:rPr>
      </w:pPr>
      <w:r w:rsidDel="00000000" w:rsidR="00000000" w:rsidRPr="00000000">
        <w:rPr>
          <w:sz w:val="24"/>
          <w:szCs w:val="24"/>
          <w:rtl w:val="0"/>
        </w:rPr>
        <w:t xml:space="preserve">Gong, G., Louis, H., &amp; Sun, A. X. (2008). Earnings management and firm performance following open-market repurchases. </w:t>
      </w:r>
      <w:r w:rsidDel="00000000" w:rsidR="00000000" w:rsidRPr="00000000">
        <w:rPr>
          <w:i w:val="1"/>
          <w:iCs w:val="1"/>
          <w:sz w:val="24"/>
          <w:szCs w:val="24"/>
          <w:rtl w:val="0"/>
        </w:rPr>
        <w:t xml:space="preserve">The Journal of Finance, 63</w:t>
      </w:r>
      <w:r w:rsidDel="00000000" w:rsidR="00000000" w:rsidRPr="00000000">
        <w:rPr>
          <w:sz w:val="24"/>
          <w:szCs w:val="24"/>
          <w:rtl w:val="0"/>
        </w:rPr>
        <w:t xml:space="preserve">(2), 947–986.</w:t>
      </w:r>
    </w:p>
    <w:p w:rsidR="00000000" w:rsidDel="00000000" w:rsidP="00000000" w:rsidRDefault="00000000" w:rsidRPr="00000000" w14:paraId="0000021D">
      <w:pPr>
        <w:spacing w:line="360" w:lineRule="auto"/>
        <w:ind w:left="566" w:hanging="570"/>
        <w:rPr>
          <w:color w:val="1155cc"/>
          <w:sz w:val="24"/>
          <w:szCs w:val="24"/>
          <w:u w:val="single"/>
        </w:rPr>
      </w:pPr>
      <w:r w:rsidDel="00000000" w:rsidR="00000000" w:rsidRPr="00000000">
        <w:rPr>
          <w:sz w:val="24"/>
          <w:szCs w:val="24"/>
          <w:rtl w:val="0"/>
        </w:rPr>
        <w:t xml:space="preserve">Grimaldi, F., Caragnano, A., Zito, M., &amp; Mariani, M. (2020). Sustainability engagement and earnings management: The Italian context. </w:t>
      </w:r>
      <w:r w:rsidDel="00000000" w:rsidR="00000000" w:rsidRPr="00000000">
        <w:rPr>
          <w:i w:val="1"/>
          <w:iCs w:val="1"/>
          <w:sz w:val="24"/>
          <w:szCs w:val="24"/>
          <w:rtl w:val="0"/>
        </w:rPr>
        <w:t xml:space="preserve">Sustainability, 12</w:t>
      </w:r>
      <w:r w:rsidDel="00000000" w:rsidR="00000000" w:rsidRPr="00000000">
        <w:rPr>
          <w:sz w:val="24"/>
          <w:szCs w:val="24"/>
          <w:rtl w:val="0"/>
        </w:rPr>
        <w:t xml:space="preserve">(12), 4881. </w:t>
      </w:r>
      <w:hyperlink r:id="rId22">
        <w:r w:rsidDel="00000000" w:rsidR="00000000" w:rsidRPr="00000000">
          <w:rPr>
            <w:color w:val="0070c0"/>
            <w:sz w:val="24"/>
            <w:szCs w:val="24"/>
            <w:u w:val="single"/>
            <w:rtl w:val="0"/>
          </w:rPr>
          <w:t xml:space="preserve">https://doi.org/10.3390/su12124881</w:t>
        </w:r>
      </w:hyperlink>
      <w:r w:rsidDel="00000000" w:rsidR="00000000" w:rsidRPr="00000000">
        <w:rPr>
          <w:rtl w:val="0"/>
        </w:rPr>
      </w:r>
    </w:p>
    <w:p w:rsidR="00000000" w:rsidDel="00000000" w:rsidP="00000000" w:rsidRDefault="00000000" w:rsidRPr="00000000" w14:paraId="0000021E">
      <w:pPr>
        <w:spacing w:line="360" w:lineRule="auto"/>
        <w:ind w:left="566" w:hanging="570"/>
        <w:rPr>
          <w:color w:val="1155cc"/>
          <w:sz w:val="24"/>
          <w:szCs w:val="24"/>
          <w:u w:val="single"/>
        </w:rPr>
      </w:pPr>
      <w:r w:rsidDel="00000000" w:rsidR="00000000" w:rsidRPr="00000000">
        <w:rPr>
          <w:sz w:val="24"/>
          <w:szCs w:val="24"/>
          <w:rtl w:val="0"/>
        </w:rPr>
        <w:t xml:space="preserve">Healy, P. M., &amp; Wahlen, J. M. (1999). A review of the earnings management literature and its implications for standard setting. </w:t>
      </w:r>
      <w:r w:rsidDel="00000000" w:rsidR="00000000" w:rsidRPr="00000000">
        <w:rPr>
          <w:i w:val="1"/>
          <w:iCs w:val="1"/>
          <w:sz w:val="24"/>
          <w:szCs w:val="24"/>
          <w:rtl w:val="0"/>
        </w:rPr>
        <w:t xml:space="preserve">Accounting Horizons, 13</w:t>
      </w:r>
      <w:r w:rsidDel="00000000" w:rsidR="00000000" w:rsidRPr="00000000">
        <w:rPr>
          <w:sz w:val="24"/>
          <w:szCs w:val="24"/>
          <w:rtl w:val="0"/>
        </w:rPr>
        <w:t xml:space="preserve">(4), 365–383.</w:t>
      </w:r>
      <w:r w:rsidDel="00000000" w:rsidR="00000000" w:rsidRPr="00000000">
        <w:rPr>
          <w:color w:val="0070c0"/>
          <w:sz w:val="24"/>
          <w:szCs w:val="24"/>
          <w:rtl w:val="0"/>
        </w:rPr>
        <w:t xml:space="preserve"> </w:t>
      </w:r>
      <w:hyperlink r:id="rId23">
        <w:r w:rsidDel="00000000" w:rsidR="00000000" w:rsidRPr="00000000">
          <w:rPr>
            <w:color w:val="0070c0"/>
            <w:sz w:val="24"/>
            <w:szCs w:val="24"/>
            <w:u w:val="single"/>
            <w:rtl w:val="0"/>
          </w:rPr>
          <w:t xml:space="preserve">https://doi.org/10.2308/acch.1999.13.4.365</w:t>
        </w:r>
      </w:hyperlink>
      <w:r w:rsidDel="00000000" w:rsidR="00000000" w:rsidRPr="00000000">
        <w:rPr>
          <w:rtl w:val="0"/>
        </w:rPr>
      </w:r>
    </w:p>
    <w:p w:rsidR="00000000" w:rsidDel="00000000" w:rsidP="00000000" w:rsidRDefault="00000000" w:rsidRPr="00000000" w14:paraId="0000021F">
      <w:pPr>
        <w:spacing w:line="360" w:lineRule="auto"/>
        <w:ind w:left="566" w:hanging="570"/>
        <w:rPr>
          <w:sz w:val="24"/>
          <w:szCs w:val="24"/>
        </w:rPr>
      </w:pPr>
      <w:r w:rsidDel="00000000" w:rsidR="00000000" w:rsidRPr="00000000">
        <w:rPr>
          <w:sz w:val="24"/>
          <w:szCs w:val="24"/>
          <w:rtl w:val="0"/>
        </w:rPr>
        <w:t xml:space="preserve">Helfaya, A., &amp; Bui, P. (2022). Exploring the Status Quo of Adopting the 17 UN SDGs in a Developing Country-Evidence from Vietnam. Sustainability, 14(22), 15358. </w:t>
      </w:r>
      <w:hyperlink r:id="rId24">
        <w:r w:rsidDel="00000000" w:rsidR="00000000" w:rsidRPr="00000000">
          <w:rPr>
            <w:color w:val="0070c0"/>
            <w:sz w:val="24"/>
            <w:szCs w:val="24"/>
            <w:u w:val="single"/>
            <w:rtl w:val="0"/>
          </w:rPr>
          <w:t xml:space="preserve">https://doi.org/10.3390/su142215358</w:t>
        </w:r>
      </w:hyperlink>
      <w:r w:rsidDel="00000000" w:rsidR="00000000" w:rsidRPr="00000000">
        <w:rPr>
          <w:rtl w:val="0"/>
        </w:rPr>
      </w:r>
    </w:p>
    <w:p w:rsidR="00000000" w:rsidDel="00000000" w:rsidP="00000000" w:rsidRDefault="00000000" w:rsidRPr="00000000" w14:paraId="00000220">
      <w:pPr>
        <w:spacing w:line="360" w:lineRule="auto"/>
        <w:ind w:left="566" w:hanging="570"/>
        <w:rPr>
          <w:sz w:val="24"/>
          <w:szCs w:val="24"/>
        </w:rPr>
      </w:pPr>
      <w:r w:rsidDel="00000000" w:rsidR="00000000" w:rsidRPr="00000000">
        <w:rPr>
          <w:sz w:val="24"/>
          <w:szCs w:val="24"/>
          <w:rtl w:val="0"/>
        </w:rPr>
        <w:t xml:space="preserve">Hoa, T., Nguyen, T. A., Viet, T., &amp; Do, N. M. (2023). Corporate governance, external financing, and earnings management: new evidence from an emerging market. 9(1</w:t>
      </w:r>
      <w:r w:rsidDel="00000000" w:rsidR="00000000" w:rsidRPr="00000000">
        <w:rPr>
          <w:color w:val="0070c0"/>
          <w:sz w:val="24"/>
          <w:szCs w:val="24"/>
          <w:rtl w:val="0"/>
        </w:rPr>
        <w:t xml:space="preserve">). </w:t>
      </w:r>
      <w:hyperlink r:id="rId25">
        <w:r w:rsidDel="00000000" w:rsidR="00000000" w:rsidRPr="00000000">
          <w:rPr>
            <w:color w:val="0070c0"/>
            <w:sz w:val="24"/>
            <w:szCs w:val="24"/>
            <w:u w:val="single"/>
            <w:rtl w:val="0"/>
          </w:rPr>
          <w:t xml:space="preserve">https://doi.org/10.1186/s43093-023-00206-3</w:t>
        </w:r>
      </w:hyperlink>
      <w:r w:rsidDel="00000000" w:rsidR="00000000" w:rsidRPr="00000000">
        <w:rPr>
          <w:sz w:val="24"/>
          <w:szCs w:val="24"/>
          <w:rtl w:val="0"/>
        </w:rPr>
        <w:t xml:space="preserve"> </w:t>
      </w:r>
    </w:p>
    <w:p w:rsidR="00000000" w:rsidDel="00000000" w:rsidP="00000000" w:rsidRDefault="00000000" w:rsidRPr="00000000" w14:paraId="00000221">
      <w:pPr>
        <w:spacing w:line="360" w:lineRule="auto"/>
        <w:ind w:left="566" w:hanging="570"/>
        <w:rPr>
          <w:color w:val="0070c0"/>
          <w:sz w:val="24"/>
          <w:szCs w:val="24"/>
        </w:rPr>
      </w:pPr>
      <w:r w:rsidDel="00000000" w:rsidR="00000000" w:rsidRPr="00000000">
        <w:rPr>
          <w:sz w:val="24"/>
          <w:szCs w:val="24"/>
          <w:rtl w:val="0"/>
        </w:rPr>
        <w:t xml:space="preserve">Howard-Grenville, J., Davis, G. F., Dyllick, T., Miller, C. C., Thau, S., &amp; Tsui, A. S. (2019). Sustainable Development for a Better World: Contributions of Leadership, Management, and Organizations. Academy of Management Discoveries, 5(4), 355–366</w:t>
      </w:r>
      <w:r w:rsidDel="00000000" w:rsidR="00000000" w:rsidRPr="00000000">
        <w:rPr>
          <w:color w:val="0070c0"/>
          <w:sz w:val="24"/>
          <w:szCs w:val="24"/>
          <w:rtl w:val="0"/>
        </w:rPr>
        <w:t xml:space="preserve">. </w:t>
      </w:r>
      <w:hyperlink r:id="rId26">
        <w:r w:rsidDel="00000000" w:rsidR="00000000" w:rsidRPr="00000000">
          <w:rPr>
            <w:color w:val="0070c0"/>
            <w:sz w:val="24"/>
            <w:szCs w:val="24"/>
            <w:u w:val="single"/>
            <w:rtl w:val="0"/>
          </w:rPr>
          <w:t xml:space="preserve">https://doi.org/10.5465/amd.2019.0275</w:t>
        </w:r>
      </w:hyperlink>
      <w:r w:rsidDel="00000000" w:rsidR="00000000" w:rsidRPr="00000000">
        <w:rPr>
          <w:rtl w:val="0"/>
        </w:rPr>
      </w:r>
    </w:p>
    <w:p w:rsidR="00000000" w:rsidDel="00000000" w:rsidP="00000000" w:rsidRDefault="00000000" w:rsidRPr="00000000" w14:paraId="00000222">
      <w:pPr>
        <w:spacing w:line="360" w:lineRule="auto"/>
        <w:ind w:left="566" w:hanging="570"/>
        <w:rPr>
          <w:sz w:val="24"/>
          <w:szCs w:val="24"/>
        </w:rPr>
      </w:pPr>
      <w:r w:rsidDel="00000000" w:rsidR="00000000" w:rsidRPr="00000000">
        <w:rPr>
          <w:sz w:val="24"/>
          <w:szCs w:val="24"/>
          <w:rtl w:val="0"/>
        </w:rPr>
        <w:t xml:space="preserve">Jebe, R. (2019). The Convergence of Financial and ESG Materiality: Taking Sustainability Mainstream. SSRN Electronic Journal.</w:t>
      </w:r>
      <w:r w:rsidDel="00000000" w:rsidR="00000000" w:rsidRPr="00000000">
        <w:rPr>
          <w:color w:val="0070c0"/>
          <w:sz w:val="24"/>
          <w:szCs w:val="24"/>
          <w:rtl w:val="0"/>
        </w:rPr>
        <w:t xml:space="preserve"> </w:t>
      </w:r>
      <w:hyperlink r:id="rId27">
        <w:r w:rsidDel="00000000" w:rsidR="00000000" w:rsidRPr="00000000">
          <w:rPr>
            <w:color w:val="0070c0"/>
            <w:sz w:val="24"/>
            <w:szCs w:val="24"/>
            <w:u w:val="single"/>
            <w:rtl w:val="0"/>
          </w:rPr>
          <w:t xml:space="preserve">https://doi.org/10.2139/ssrn.3730792</w:t>
        </w:r>
      </w:hyperlink>
      <w:r w:rsidDel="00000000" w:rsidR="00000000" w:rsidRPr="00000000">
        <w:rPr>
          <w:rtl w:val="0"/>
        </w:rPr>
      </w:r>
    </w:p>
    <w:p w:rsidR="00000000" w:rsidDel="00000000" w:rsidP="00000000" w:rsidRDefault="00000000" w:rsidRPr="00000000" w14:paraId="00000223">
      <w:pPr>
        <w:spacing w:line="360" w:lineRule="auto"/>
        <w:ind w:left="566" w:hanging="570"/>
        <w:rPr>
          <w:color w:val="0070c0"/>
          <w:sz w:val="24"/>
          <w:szCs w:val="24"/>
          <w:u w:val="single"/>
        </w:rPr>
      </w:pPr>
      <w:r w:rsidDel="00000000" w:rsidR="00000000" w:rsidRPr="00000000">
        <w:rPr>
          <w:sz w:val="24"/>
          <w:szCs w:val="24"/>
          <w:rtl w:val="0"/>
        </w:rPr>
        <w:t xml:space="preserve">Jensen, M. C., &amp; Meckling, W. H. (1976). Theory of the firm: Managerial behavior, agency costs and ownership structure. </w:t>
      </w:r>
      <w:r w:rsidDel="00000000" w:rsidR="00000000" w:rsidRPr="00000000">
        <w:rPr>
          <w:i w:val="1"/>
          <w:iCs w:val="1"/>
          <w:sz w:val="24"/>
          <w:szCs w:val="24"/>
          <w:rtl w:val="0"/>
        </w:rPr>
        <w:t xml:space="preserve">Journal of Financial Economics, 3</w:t>
      </w:r>
      <w:r w:rsidDel="00000000" w:rsidR="00000000" w:rsidRPr="00000000">
        <w:rPr>
          <w:sz w:val="24"/>
          <w:szCs w:val="24"/>
          <w:rtl w:val="0"/>
        </w:rPr>
        <w:t xml:space="preserve">(4), 305–360. </w:t>
      </w:r>
      <w:hyperlink r:id="rId28">
        <w:r w:rsidDel="00000000" w:rsidR="00000000" w:rsidRPr="00000000">
          <w:rPr>
            <w:color w:val="0070c0"/>
            <w:sz w:val="24"/>
            <w:szCs w:val="24"/>
            <w:u w:val="single"/>
            <w:rtl w:val="0"/>
          </w:rPr>
          <w:t xml:space="preserve">https://doi.org/10.1016/0304-405X(76)90026-X</w:t>
        </w:r>
      </w:hyperlink>
      <w:r w:rsidDel="00000000" w:rsidR="00000000" w:rsidRPr="00000000">
        <w:rPr>
          <w:rtl w:val="0"/>
        </w:rPr>
      </w:r>
    </w:p>
    <w:p w:rsidR="00000000" w:rsidDel="00000000" w:rsidP="00000000" w:rsidRDefault="00000000" w:rsidRPr="00000000" w14:paraId="00000224">
      <w:pPr>
        <w:spacing w:line="360" w:lineRule="auto"/>
        <w:ind w:left="566" w:hanging="570"/>
        <w:rPr>
          <w:color w:val="1155cc"/>
          <w:sz w:val="24"/>
          <w:szCs w:val="24"/>
          <w:u w:val="single"/>
        </w:rPr>
      </w:pPr>
      <w:r w:rsidDel="00000000" w:rsidR="00000000" w:rsidRPr="00000000">
        <w:rPr>
          <w:sz w:val="24"/>
          <w:szCs w:val="24"/>
          <w:rtl w:val="0"/>
        </w:rPr>
        <w:t xml:space="preserve">Klein, A. (2002). Audit committee, board of director characteristics, and earnings management. </w:t>
      </w:r>
      <w:r w:rsidDel="00000000" w:rsidR="00000000" w:rsidRPr="00000000">
        <w:rPr>
          <w:i w:val="1"/>
          <w:iCs w:val="1"/>
          <w:sz w:val="24"/>
          <w:szCs w:val="24"/>
          <w:rtl w:val="0"/>
        </w:rPr>
        <w:t xml:space="preserve">Journal of Accounting and Economics, 33</w:t>
      </w:r>
      <w:r w:rsidDel="00000000" w:rsidR="00000000" w:rsidRPr="00000000">
        <w:rPr>
          <w:sz w:val="24"/>
          <w:szCs w:val="24"/>
          <w:rtl w:val="0"/>
        </w:rPr>
        <w:t xml:space="preserve">(3), 375–400.</w:t>
      </w:r>
      <w:r w:rsidDel="00000000" w:rsidR="00000000" w:rsidRPr="00000000">
        <w:rPr>
          <w:rtl w:val="0"/>
        </w:rPr>
      </w:r>
    </w:p>
    <w:p w:rsidR="00000000" w:rsidDel="00000000" w:rsidP="00000000" w:rsidRDefault="00000000" w:rsidRPr="00000000" w14:paraId="00000225">
      <w:pPr>
        <w:spacing w:line="360" w:lineRule="auto"/>
        <w:ind w:left="566" w:hanging="570"/>
        <w:rPr>
          <w:color w:val="0070c0"/>
          <w:sz w:val="24"/>
          <w:szCs w:val="24"/>
        </w:rPr>
      </w:pPr>
      <w:r w:rsidDel="00000000" w:rsidR="00000000" w:rsidRPr="00000000">
        <w:rPr>
          <w:sz w:val="24"/>
          <w:szCs w:val="24"/>
          <w:rtl w:val="0"/>
        </w:rPr>
        <w:t xml:space="preserve">Montiel, I., Cuervo-Cazurra, A., Park, J., Antolín-López, R., &amp; Husted, B. W. (2021). Implementing the United Nations’ Sustainable Development Goals in international business. Journal of International Business Studies, 52(5), 999–1030. </w:t>
      </w:r>
      <w:hyperlink r:id="rId29">
        <w:r w:rsidDel="00000000" w:rsidR="00000000" w:rsidRPr="00000000">
          <w:rPr>
            <w:color w:val="0070c0"/>
            <w:sz w:val="24"/>
            <w:szCs w:val="24"/>
            <w:u w:val="single"/>
            <w:rtl w:val="0"/>
          </w:rPr>
          <w:t xml:space="preserve">https://pmc.ncbi.nlm.nih.gov/articles/PMC8144281/</w:t>
        </w:r>
      </w:hyperlink>
      <w:r w:rsidDel="00000000" w:rsidR="00000000" w:rsidRPr="00000000">
        <w:rPr>
          <w:color w:val="0070c0"/>
          <w:sz w:val="24"/>
          <w:szCs w:val="24"/>
          <w:rtl w:val="0"/>
        </w:rPr>
        <w:t xml:space="preserve"> </w:t>
      </w:r>
    </w:p>
    <w:p w:rsidR="00000000" w:rsidDel="00000000" w:rsidP="00000000" w:rsidRDefault="00000000" w:rsidRPr="00000000" w14:paraId="00000226">
      <w:pPr>
        <w:spacing w:line="360" w:lineRule="auto"/>
        <w:ind w:left="566" w:hanging="570"/>
        <w:rPr>
          <w:color w:val="1155cc"/>
          <w:sz w:val="24"/>
          <w:szCs w:val="24"/>
          <w:u w:val="single"/>
        </w:rPr>
      </w:pPr>
      <w:r w:rsidDel="00000000" w:rsidR="00000000" w:rsidRPr="00000000">
        <w:rPr>
          <w:sz w:val="24"/>
          <w:szCs w:val="24"/>
          <w:rtl w:val="0"/>
        </w:rPr>
        <w:t xml:space="preserve">Muhmad, S. N., &amp; Muhamad, R. (2020). Sustainable business practices and financial performance during pre- and post-SDG adoption periods: A systematic review. </w:t>
      </w:r>
      <w:r w:rsidDel="00000000" w:rsidR="00000000" w:rsidRPr="00000000">
        <w:rPr>
          <w:i w:val="1"/>
          <w:iCs w:val="1"/>
          <w:sz w:val="24"/>
          <w:szCs w:val="24"/>
          <w:rtl w:val="0"/>
        </w:rPr>
        <w:t xml:space="preserve">Journal of Sustainable Finance &amp; Investment, 11</w:t>
      </w:r>
      <w:r w:rsidDel="00000000" w:rsidR="00000000" w:rsidRPr="00000000">
        <w:rPr>
          <w:sz w:val="24"/>
          <w:szCs w:val="24"/>
          <w:rtl w:val="0"/>
        </w:rPr>
        <w:t xml:space="preserve">(4), 291–309. </w:t>
      </w:r>
      <w:hyperlink r:id="rId30">
        <w:r w:rsidDel="00000000" w:rsidR="00000000" w:rsidRPr="00000000">
          <w:rPr>
            <w:color w:val="0070c0"/>
            <w:sz w:val="24"/>
            <w:szCs w:val="24"/>
            <w:u w:val="single"/>
            <w:rtl w:val="0"/>
          </w:rPr>
          <w:t xml:space="preserve">https://doi.org/10.1080/20430795.2020.1727724</w:t>
        </w:r>
      </w:hyperlink>
      <w:r w:rsidDel="00000000" w:rsidR="00000000" w:rsidRPr="00000000">
        <w:rPr>
          <w:rtl w:val="0"/>
        </w:rPr>
      </w:r>
    </w:p>
    <w:p w:rsidR="00000000" w:rsidDel="00000000" w:rsidP="00000000" w:rsidRDefault="00000000" w:rsidRPr="00000000" w14:paraId="00000227">
      <w:pPr>
        <w:spacing w:line="360" w:lineRule="auto"/>
        <w:ind w:left="566" w:hanging="570"/>
        <w:rPr>
          <w:sz w:val="24"/>
          <w:szCs w:val="24"/>
        </w:rPr>
      </w:pPr>
      <w:r w:rsidDel="00000000" w:rsidR="00000000" w:rsidRPr="00000000">
        <w:rPr>
          <w:sz w:val="24"/>
          <w:szCs w:val="24"/>
          <w:rtl w:val="0"/>
        </w:rPr>
        <w:t xml:space="preserve">Muserra, A. L., Papa, M., &amp; Grimaldi, F. (2019). Sustainable Development and the European Union Policy on Non‐Financial Information: An Italian Empirical Analysis. Corporate Social Responsibility and Environmental Management, 27(1), 22–31. </w:t>
      </w:r>
      <w:hyperlink r:id="rId31">
        <w:r w:rsidDel="00000000" w:rsidR="00000000" w:rsidRPr="00000000">
          <w:rPr>
            <w:color w:val="0070c0"/>
            <w:sz w:val="24"/>
            <w:szCs w:val="24"/>
            <w:u w:val="single"/>
            <w:rtl w:val="0"/>
          </w:rPr>
          <w:t xml:space="preserve">https://doi.org/10.1002/csr.1770</w:t>
        </w:r>
      </w:hyperlink>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228">
      <w:pPr>
        <w:spacing w:line="360" w:lineRule="auto"/>
        <w:ind w:left="566" w:hanging="570"/>
        <w:rPr>
          <w:color w:val="1155cc"/>
          <w:sz w:val="24"/>
          <w:szCs w:val="24"/>
          <w:u w:val="single"/>
        </w:rPr>
      </w:pPr>
      <w:r w:rsidDel="00000000" w:rsidR="00000000" w:rsidRPr="00000000">
        <w:rPr>
          <w:sz w:val="24"/>
          <w:szCs w:val="24"/>
          <w:rtl w:val="0"/>
        </w:rPr>
        <w:t xml:space="preserve">Nguyen, A. T. M., Tran, B. T., &amp; Nguyen, H. M. (2022). Earnings management around equity issuances in Vietnamese listed firms. </w:t>
      </w:r>
      <w:r w:rsidDel="00000000" w:rsidR="00000000" w:rsidRPr="00000000">
        <w:rPr>
          <w:i w:val="1"/>
          <w:iCs w:val="1"/>
          <w:sz w:val="24"/>
          <w:szCs w:val="24"/>
          <w:rtl w:val="0"/>
        </w:rPr>
        <w:t xml:space="preserve">Journal of International Economics and Management, 22</w:t>
      </w:r>
      <w:r w:rsidDel="00000000" w:rsidR="00000000" w:rsidRPr="00000000">
        <w:rPr>
          <w:sz w:val="24"/>
          <w:szCs w:val="24"/>
          <w:rtl w:val="0"/>
        </w:rPr>
        <w:t xml:space="preserve">(2). </w:t>
      </w:r>
      <w:hyperlink r:id="rId32">
        <w:r w:rsidDel="00000000" w:rsidR="00000000" w:rsidRPr="00000000">
          <w:rPr>
            <w:color w:val="0070c0"/>
            <w:sz w:val="24"/>
            <w:szCs w:val="24"/>
            <w:u w:val="single"/>
            <w:rtl w:val="0"/>
          </w:rPr>
          <w:t xml:space="preserve">https://doi.org/10.38203/JIEM.022.2.0048</w:t>
        </w:r>
      </w:hyperlink>
      <w:r w:rsidDel="00000000" w:rsidR="00000000" w:rsidRPr="00000000">
        <w:rPr>
          <w:rtl w:val="0"/>
        </w:rPr>
      </w:r>
    </w:p>
    <w:p w:rsidR="00000000" w:rsidDel="00000000" w:rsidP="00000000" w:rsidRDefault="00000000" w:rsidRPr="00000000" w14:paraId="00000229">
      <w:pPr>
        <w:spacing w:line="360" w:lineRule="auto"/>
        <w:ind w:left="566" w:hanging="570"/>
        <w:rPr>
          <w:color w:val="1155cc"/>
          <w:sz w:val="24"/>
          <w:szCs w:val="24"/>
          <w:u w:val="single"/>
        </w:rPr>
      </w:pPr>
      <w:r w:rsidDel="00000000" w:rsidR="00000000" w:rsidRPr="00000000">
        <w:rPr>
          <w:sz w:val="24"/>
          <w:szCs w:val="24"/>
          <w:rtl w:val="0"/>
        </w:rPr>
        <w:t xml:space="preserve">Nguyen, V. L., Dang, N. H., &amp; Ta, Q. B. (2022). Relationship between sustainability reporting and firm value: Evidence from Vietnam. </w:t>
      </w:r>
      <w:r w:rsidDel="00000000" w:rsidR="00000000" w:rsidRPr="00000000">
        <w:rPr>
          <w:i w:val="1"/>
          <w:iCs w:val="1"/>
          <w:sz w:val="24"/>
          <w:szCs w:val="24"/>
          <w:rtl w:val="0"/>
        </w:rPr>
        <w:t xml:space="preserve">Cogent Business &amp; Management, 9</w:t>
      </w:r>
      <w:r w:rsidDel="00000000" w:rsidR="00000000" w:rsidRPr="00000000">
        <w:rPr>
          <w:sz w:val="24"/>
          <w:szCs w:val="24"/>
          <w:rtl w:val="0"/>
        </w:rPr>
        <w:t xml:space="preserve">(1). </w:t>
      </w:r>
      <w:hyperlink r:id="rId33">
        <w:r w:rsidDel="00000000" w:rsidR="00000000" w:rsidRPr="00000000">
          <w:rPr>
            <w:color w:val="0070c0"/>
            <w:sz w:val="24"/>
            <w:szCs w:val="24"/>
            <w:u w:val="single"/>
            <w:rtl w:val="0"/>
          </w:rPr>
          <w:t xml:space="preserve">https://doi.org/10.1080/23311975.2022.2082014</w:t>
        </w:r>
      </w:hyperlink>
      <w:r w:rsidDel="00000000" w:rsidR="00000000" w:rsidRPr="00000000">
        <w:rPr>
          <w:rtl w:val="0"/>
        </w:rPr>
      </w:r>
    </w:p>
    <w:p w:rsidR="00000000" w:rsidDel="00000000" w:rsidP="00000000" w:rsidRDefault="00000000" w:rsidRPr="00000000" w14:paraId="0000022A">
      <w:pPr>
        <w:spacing w:line="360" w:lineRule="auto"/>
        <w:ind w:left="566" w:hanging="570"/>
        <w:rPr>
          <w:color w:val="1155cc"/>
          <w:sz w:val="24"/>
          <w:szCs w:val="24"/>
          <w:u w:val="single"/>
        </w:rPr>
      </w:pPr>
      <w:r w:rsidDel="00000000" w:rsidR="00000000" w:rsidRPr="00000000">
        <w:rPr>
          <w:sz w:val="24"/>
          <w:szCs w:val="24"/>
          <w:rtl w:val="0"/>
        </w:rPr>
        <w:t xml:space="preserve">Nicolò, G., Zampone, G., De Iorio, S., &amp; Sannino, G. (2023). Does SDG disclosure reflect corporate underlying sustainability performance? Evidence from UN Global Compact participants. </w:t>
      </w:r>
      <w:r w:rsidDel="00000000" w:rsidR="00000000" w:rsidRPr="00000000">
        <w:rPr>
          <w:i w:val="1"/>
          <w:iCs w:val="1"/>
          <w:sz w:val="24"/>
          <w:szCs w:val="24"/>
          <w:rtl w:val="0"/>
        </w:rPr>
        <w:t xml:space="preserve">Journal of International Financial Management &amp; Accounting, 35</w:t>
      </w:r>
      <w:r w:rsidDel="00000000" w:rsidR="00000000" w:rsidRPr="00000000">
        <w:rPr>
          <w:sz w:val="24"/>
          <w:szCs w:val="24"/>
          <w:rtl w:val="0"/>
        </w:rPr>
        <w:t xml:space="preserve">(1), 214–260. </w:t>
      </w:r>
      <w:hyperlink r:id="rId34">
        <w:r w:rsidDel="00000000" w:rsidR="00000000" w:rsidRPr="00000000">
          <w:rPr>
            <w:color w:val="0070c0"/>
            <w:sz w:val="24"/>
            <w:szCs w:val="24"/>
            <w:u w:val="single"/>
            <w:rtl w:val="0"/>
          </w:rPr>
          <w:t xml:space="preserve">https://doi.org/10.1111/jifm.12194</w:t>
        </w:r>
      </w:hyperlink>
      <w:r w:rsidDel="00000000" w:rsidR="00000000" w:rsidRPr="00000000">
        <w:rPr>
          <w:rtl w:val="0"/>
        </w:rPr>
      </w:r>
    </w:p>
    <w:p w:rsidR="00000000" w:rsidDel="00000000" w:rsidP="00000000" w:rsidRDefault="00000000" w:rsidRPr="00000000" w14:paraId="0000022B">
      <w:pPr>
        <w:spacing w:line="360" w:lineRule="auto"/>
        <w:ind w:left="566" w:hanging="570"/>
        <w:rPr>
          <w:color w:val="0070c0"/>
          <w:sz w:val="24"/>
          <w:szCs w:val="24"/>
          <w:u w:val="single"/>
        </w:rPr>
      </w:pPr>
      <w:r w:rsidDel="00000000" w:rsidR="00000000" w:rsidRPr="00000000">
        <w:rPr>
          <w:sz w:val="24"/>
          <w:szCs w:val="24"/>
          <w:rtl w:val="0"/>
        </w:rPr>
        <w:t xml:space="preserve">Nicolò, G., Zampone, G., Sannino, G., &amp; Polcini, P. T. (2024). Sustainable development goals disclosure and analyst forecast quality. </w:t>
      </w:r>
      <w:r w:rsidDel="00000000" w:rsidR="00000000" w:rsidRPr="00000000">
        <w:rPr>
          <w:i w:val="1"/>
          <w:iCs w:val="1"/>
          <w:sz w:val="24"/>
          <w:szCs w:val="24"/>
          <w:rtl w:val="0"/>
        </w:rPr>
        <w:t xml:space="preserve">Journal of Applied Accounting Research, 26</w:t>
      </w:r>
      <w:r w:rsidDel="00000000" w:rsidR="00000000" w:rsidRPr="00000000">
        <w:rPr>
          <w:sz w:val="24"/>
          <w:szCs w:val="24"/>
          <w:rtl w:val="0"/>
        </w:rPr>
        <w:t xml:space="preserve">(6). </w:t>
      </w:r>
      <w:hyperlink r:id="rId35">
        <w:r w:rsidDel="00000000" w:rsidR="00000000" w:rsidRPr="00000000">
          <w:rPr>
            <w:color w:val="0070c0"/>
            <w:sz w:val="24"/>
            <w:szCs w:val="24"/>
            <w:u w:val="single"/>
            <w:rtl w:val="0"/>
          </w:rPr>
          <w:t xml:space="preserve">https://doi.org/10.1108/JAAR-07-2023-0223</w:t>
        </w:r>
      </w:hyperlink>
      <w:r w:rsidDel="00000000" w:rsidR="00000000" w:rsidRPr="00000000">
        <w:rPr>
          <w:rtl w:val="0"/>
        </w:rPr>
      </w:r>
    </w:p>
    <w:p w:rsidR="00000000" w:rsidDel="00000000" w:rsidP="00000000" w:rsidRDefault="00000000" w:rsidRPr="00000000" w14:paraId="0000022C">
      <w:pPr>
        <w:spacing w:line="360" w:lineRule="auto"/>
        <w:ind w:left="566" w:hanging="570"/>
        <w:rPr>
          <w:color w:val="0070c0"/>
          <w:sz w:val="24"/>
          <w:szCs w:val="24"/>
        </w:rPr>
      </w:pPr>
      <w:r w:rsidDel="00000000" w:rsidR="00000000" w:rsidRPr="00000000">
        <w:rPr>
          <w:sz w:val="24"/>
          <w:szCs w:val="24"/>
          <w:rtl w:val="0"/>
        </w:rPr>
        <w:t xml:space="preserve">Pae, J. (2005). Expected Accrual Models: The Impact of Operating Cash Flows and Reversals of Accruals. Review of Quantitative Finance and Accounting, 24(1), 5–22. </w:t>
      </w:r>
      <w:hyperlink r:id="rId36">
        <w:r w:rsidDel="00000000" w:rsidR="00000000" w:rsidRPr="00000000">
          <w:rPr>
            <w:color w:val="0070c0"/>
            <w:sz w:val="24"/>
            <w:szCs w:val="24"/>
            <w:u w:val="single"/>
            <w:rtl w:val="0"/>
          </w:rPr>
          <w:t xml:space="preserve">https://doi.org/10.1007/s11156-005-5324-7</w:t>
        </w:r>
      </w:hyperlink>
      <w:r w:rsidDel="00000000" w:rsidR="00000000" w:rsidRPr="00000000">
        <w:rPr>
          <w:rtl w:val="0"/>
        </w:rPr>
      </w:r>
    </w:p>
    <w:p w:rsidR="00000000" w:rsidDel="00000000" w:rsidP="00000000" w:rsidRDefault="00000000" w:rsidRPr="00000000" w14:paraId="0000022D">
      <w:pPr>
        <w:spacing w:line="360" w:lineRule="auto"/>
        <w:ind w:left="566" w:hanging="570"/>
        <w:rPr>
          <w:sz w:val="24"/>
          <w:szCs w:val="24"/>
        </w:rPr>
      </w:pPr>
      <w:r w:rsidDel="00000000" w:rsidR="00000000" w:rsidRPr="00000000">
        <w:rPr>
          <w:sz w:val="24"/>
          <w:szCs w:val="24"/>
          <w:rtl w:val="0"/>
        </w:rPr>
        <w:t xml:space="preserve">Palacios-Manzano, M., Gras-Gil, E., &amp; Santos-Jaen, J. M. (2019). Corporate social responsibility and its effect on earnings management: an empirical research on Spanish firms. Total Quality Management &amp; Business Excellence, 32(7-8), 921–937. </w:t>
      </w:r>
      <w:hyperlink r:id="rId37">
        <w:r w:rsidDel="00000000" w:rsidR="00000000" w:rsidRPr="00000000">
          <w:rPr>
            <w:color w:val="0070c0"/>
            <w:sz w:val="24"/>
            <w:szCs w:val="24"/>
            <w:u w:val="single"/>
            <w:rtl w:val="0"/>
          </w:rPr>
          <w:t xml:space="preserve">https://doi.org/10.1080/14783363.2019.1652586</w:t>
        </w:r>
      </w:hyperlink>
      <w:r w:rsidDel="00000000" w:rsidR="00000000" w:rsidRPr="00000000">
        <w:rPr>
          <w:rtl w:val="0"/>
        </w:rPr>
      </w:r>
    </w:p>
    <w:p w:rsidR="00000000" w:rsidDel="00000000" w:rsidP="00000000" w:rsidRDefault="00000000" w:rsidRPr="00000000" w14:paraId="0000022E">
      <w:pPr>
        <w:spacing w:line="360" w:lineRule="auto"/>
        <w:ind w:left="566" w:hanging="570"/>
        <w:rPr>
          <w:color w:val="0070c0"/>
          <w:sz w:val="24"/>
          <w:szCs w:val="24"/>
        </w:rPr>
      </w:pPr>
      <w:r w:rsidDel="00000000" w:rsidR="00000000" w:rsidRPr="00000000">
        <w:rPr>
          <w:sz w:val="24"/>
          <w:szCs w:val="24"/>
          <w:rtl w:val="0"/>
        </w:rPr>
        <w:t xml:space="preserve">Pasko, O., Chen, F., Proskurina, N., Mao, R., Gryn, V., &amp; Pushkar, I. (2021). ARE CORPORATE SOCIAL RESPONSIBILITY ACTIVE FIRMS LESS INVOLVED IN EARNINGS MANAGEMENT? EMPIRICAL EVIDENCE FROM CHINA. Business: Theory and Practice, 22(2), 504–516. </w:t>
      </w:r>
      <w:hyperlink r:id="rId38">
        <w:r w:rsidDel="00000000" w:rsidR="00000000" w:rsidRPr="00000000">
          <w:rPr>
            <w:color w:val="0070c0"/>
            <w:sz w:val="24"/>
            <w:szCs w:val="24"/>
            <w:u w:val="single"/>
            <w:rtl w:val="0"/>
          </w:rPr>
          <w:t xml:space="preserve">https://doi.org/10.3846/btp.2021.14940</w:t>
        </w:r>
      </w:hyperlink>
      <w:r w:rsidDel="00000000" w:rsidR="00000000" w:rsidRPr="00000000">
        <w:rPr>
          <w:rtl w:val="0"/>
        </w:rPr>
      </w:r>
    </w:p>
    <w:p w:rsidR="00000000" w:rsidDel="00000000" w:rsidP="00000000" w:rsidRDefault="00000000" w:rsidRPr="00000000" w14:paraId="0000022F">
      <w:pPr>
        <w:spacing w:line="360" w:lineRule="auto"/>
        <w:ind w:left="566" w:hanging="570"/>
        <w:rPr>
          <w:sz w:val="24"/>
          <w:szCs w:val="24"/>
        </w:rPr>
      </w:pPr>
      <w:r w:rsidDel="00000000" w:rsidR="00000000" w:rsidRPr="00000000">
        <w:rPr>
          <w:sz w:val="24"/>
          <w:szCs w:val="24"/>
          <w:rtl w:val="0"/>
        </w:rPr>
        <w:t xml:space="preserve">Richardson, S. A., Sloan, R. G., Soliman, M. T., &amp; Tuna, I. (2005). Accrual reliability, earnings persistence and stock prices. </w:t>
      </w:r>
      <w:r w:rsidDel="00000000" w:rsidR="00000000" w:rsidRPr="00000000">
        <w:rPr>
          <w:i w:val="1"/>
          <w:iCs w:val="1"/>
          <w:sz w:val="24"/>
          <w:szCs w:val="24"/>
          <w:rtl w:val="0"/>
        </w:rPr>
        <w:t xml:space="preserve">Journal of Accounting and Economics, 39</w:t>
      </w:r>
      <w:r w:rsidDel="00000000" w:rsidR="00000000" w:rsidRPr="00000000">
        <w:rPr>
          <w:sz w:val="24"/>
          <w:szCs w:val="24"/>
          <w:rtl w:val="0"/>
        </w:rPr>
        <w:t xml:space="preserve">(3), 437–485.</w:t>
      </w:r>
    </w:p>
    <w:p w:rsidR="00000000" w:rsidDel="00000000" w:rsidP="00000000" w:rsidRDefault="00000000" w:rsidRPr="00000000" w14:paraId="00000230">
      <w:pPr>
        <w:spacing w:line="360" w:lineRule="auto"/>
        <w:ind w:left="566" w:hanging="570"/>
        <w:rPr>
          <w:sz w:val="24"/>
          <w:szCs w:val="24"/>
        </w:rPr>
      </w:pPr>
      <w:r w:rsidDel="00000000" w:rsidR="00000000" w:rsidRPr="00000000">
        <w:rPr>
          <w:sz w:val="24"/>
          <w:szCs w:val="24"/>
          <w:rtl w:val="0"/>
        </w:rPr>
        <w:t xml:space="preserve">Ronen, J., &amp; Yaari, V. (2008). </w:t>
      </w:r>
      <w:r w:rsidDel="00000000" w:rsidR="00000000" w:rsidRPr="00000000">
        <w:rPr>
          <w:i w:val="1"/>
          <w:iCs w:val="1"/>
          <w:sz w:val="24"/>
          <w:szCs w:val="24"/>
          <w:rtl w:val="0"/>
        </w:rPr>
        <w:t xml:space="preserve">Earnings management: Emerging insights in theory, practice, and research</w:t>
      </w:r>
      <w:r w:rsidDel="00000000" w:rsidR="00000000" w:rsidRPr="00000000">
        <w:rPr>
          <w:sz w:val="24"/>
          <w:szCs w:val="24"/>
          <w:rtl w:val="0"/>
        </w:rPr>
        <w:t xml:space="preserve">. Springer.</w:t>
      </w:r>
    </w:p>
    <w:p w:rsidR="00000000" w:rsidDel="00000000" w:rsidP="00000000" w:rsidRDefault="00000000" w:rsidRPr="00000000" w14:paraId="00000231">
      <w:pPr>
        <w:spacing w:line="360" w:lineRule="auto"/>
        <w:ind w:left="566" w:hanging="570"/>
        <w:rPr>
          <w:sz w:val="24"/>
          <w:szCs w:val="24"/>
        </w:rPr>
      </w:pPr>
      <w:r w:rsidDel="00000000" w:rsidR="00000000" w:rsidRPr="00000000">
        <w:rPr>
          <w:sz w:val="24"/>
          <w:szCs w:val="24"/>
          <w:rtl w:val="0"/>
        </w:rPr>
        <w:t xml:space="preserve">Roychowdhury, S. (2006). Earnings management through real activities manipulation. </w:t>
      </w:r>
      <w:r w:rsidDel="00000000" w:rsidR="00000000" w:rsidRPr="00000000">
        <w:rPr>
          <w:i w:val="1"/>
          <w:iCs w:val="1"/>
          <w:sz w:val="24"/>
          <w:szCs w:val="24"/>
          <w:rtl w:val="0"/>
        </w:rPr>
        <w:t xml:space="preserve">Journal of Accounting and Economics, 42</w:t>
      </w:r>
      <w:r w:rsidDel="00000000" w:rsidR="00000000" w:rsidRPr="00000000">
        <w:rPr>
          <w:sz w:val="24"/>
          <w:szCs w:val="24"/>
          <w:rtl w:val="0"/>
        </w:rPr>
        <w:t xml:space="preserve">(3), 335–370.</w:t>
      </w:r>
    </w:p>
    <w:p w:rsidR="00000000" w:rsidDel="00000000" w:rsidP="00000000" w:rsidRDefault="00000000" w:rsidRPr="00000000" w14:paraId="00000232">
      <w:pPr>
        <w:spacing w:line="360" w:lineRule="auto"/>
        <w:ind w:left="566" w:hanging="570"/>
        <w:rPr>
          <w:color w:val="0070c0"/>
          <w:sz w:val="24"/>
          <w:szCs w:val="24"/>
          <w:u w:val="single"/>
        </w:rPr>
      </w:pPr>
      <w:r w:rsidDel="00000000" w:rsidR="00000000" w:rsidRPr="00000000">
        <w:rPr>
          <w:sz w:val="24"/>
          <w:szCs w:val="24"/>
          <w:rtl w:val="0"/>
        </w:rPr>
        <w:t xml:space="preserve">Sekarlangit, L. D., &amp; Wardhani, R. (2021). Board characteristics and SDG disclosures: Evidence from Southeast Asia. </w:t>
      </w:r>
      <w:r w:rsidDel="00000000" w:rsidR="00000000" w:rsidRPr="00000000">
        <w:rPr>
          <w:i w:val="1"/>
          <w:iCs w:val="1"/>
          <w:sz w:val="24"/>
          <w:szCs w:val="24"/>
          <w:rtl w:val="0"/>
        </w:rPr>
        <w:t xml:space="preserve">Sustainability, 13</w:t>
      </w:r>
      <w:r w:rsidDel="00000000" w:rsidR="00000000" w:rsidRPr="00000000">
        <w:rPr>
          <w:sz w:val="24"/>
          <w:szCs w:val="24"/>
          <w:rtl w:val="0"/>
        </w:rPr>
        <w:t xml:space="preserve">(14), 8007</w:t>
      </w:r>
      <w:r w:rsidDel="00000000" w:rsidR="00000000" w:rsidRPr="00000000">
        <w:rPr>
          <w:color w:val="0070c0"/>
          <w:sz w:val="24"/>
          <w:szCs w:val="24"/>
          <w:rtl w:val="0"/>
        </w:rPr>
        <w:t xml:space="preserve">. </w:t>
      </w:r>
      <w:hyperlink r:id="rId39">
        <w:r w:rsidDel="00000000" w:rsidR="00000000" w:rsidRPr="00000000">
          <w:rPr>
            <w:color w:val="0070c0"/>
            <w:sz w:val="24"/>
            <w:szCs w:val="24"/>
            <w:u w:val="single"/>
            <w:rtl w:val="0"/>
          </w:rPr>
          <w:t xml:space="preserve">https://doi.org/10.3390/su13148007</w:t>
        </w:r>
      </w:hyperlink>
      <w:r w:rsidDel="00000000" w:rsidR="00000000" w:rsidRPr="00000000">
        <w:rPr>
          <w:rtl w:val="0"/>
        </w:rPr>
      </w:r>
    </w:p>
    <w:p w:rsidR="00000000" w:rsidDel="00000000" w:rsidP="00000000" w:rsidRDefault="00000000" w:rsidRPr="00000000" w14:paraId="00000233">
      <w:pPr>
        <w:spacing w:line="360" w:lineRule="auto"/>
        <w:ind w:left="566" w:hanging="570"/>
        <w:rPr>
          <w:sz w:val="24"/>
          <w:szCs w:val="24"/>
        </w:rPr>
      </w:pPr>
      <w:r w:rsidDel="00000000" w:rsidR="00000000" w:rsidRPr="00000000">
        <w:rPr>
          <w:sz w:val="24"/>
          <w:szCs w:val="24"/>
          <w:rtl w:val="0"/>
        </w:rPr>
        <w:t xml:space="preserve">Stock, J. H., &amp; Watson, M. W. (2020). </w:t>
      </w:r>
      <w:r w:rsidDel="00000000" w:rsidR="00000000" w:rsidRPr="00000000">
        <w:rPr>
          <w:i w:val="1"/>
          <w:iCs w:val="1"/>
          <w:sz w:val="24"/>
          <w:szCs w:val="24"/>
          <w:rtl w:val="0"/>
        </w:rPr>
        <w:t xml:space="preserve">Introduction to econometrics</w:t>
      </w:r>
      <w:r w:rsidDel="00000000" w:rsidR="00000000" w:rsidRPr="00000000">
        <w:rPr>
          <w:sz w:val="24"/>
          <w:szCs w:val="24"/>
          <w:rtl w:val="0"/>
        </w:rPr>
        <w:t xml:space="preserve"> (4th ed.). Pearson.</w:t>
      </w:r>
    </w:p>
    <w:p w:rsidR="00000000" w:rsidDel="00000000" w:rsidP="00000000" w:rsidRDefault="00000000" w:rsidRPr="00000000" w14:paraId="00000234">
      <w:pPr>
        <w:spacing w:line="360" w:lineRule="auto"/>
        <w:ind w:left="566" w:hanging="570"/>
        <w:rPr>
          <w:sz w:val="24"/>
          <w:szCs w:val="24"/>
        </w:rPr>
      </w:pPr>
      <w:r w:rsidDel="00000000" w:rsidR="00000000" w:rsidRPr="00000000">
        <w:rPr>
          <w:sz w:val="24"/>
          <w:szCs w:val="24"/>
          <w:rtl w:val="0"/>
        </w:rPr>
        <w:t xml:space="preserve">Teoh, S. H., Welch, I., &amp; Wong, T. J. (1998). Earnings management and the underperformance of seasoned equity offerings. </w:t>
      </w:r>
      <w:r w:rsidDel="00000000" w:rsidR="00000000" w:rsidRPr="00000000">
        <w:rPr>
          <w:i w:val="1"/>
          <w:iCs w:val="1"/>
          <w:sz w:val="24"/>
          <w:szCs w:val="24"/>
          <w:rtl w:val="0"/>
        </w:rPr>
        <w:t xml:space="preserve">Journal of Financial Economics, 50</w:t>
      </w:r>
      <w:r w:rsidDel="00000000" w:rsidR="00000000" w:rsidRPr="00000000">
        <w:rPr>
          <w:sz w:val="24"/>
          <w:szCs w:val="24"/>
          <w:rtl w:val="0"/>
        </w:rPr>
        <w:t xml:space="preserve">(1), 63–99.</w:t>
      </w:r>
    </w:p>
    <w:p w:rsidR="00000000" w:rsidDel="00000000" w:rsidP="00000000" w:rsidRDefault="00000000" w:rsidRPr="00000000" w14:paraId="00000235">
      <w:pPr>
        <w:spacing w:line="360" w:lineRule="auto"/>
        <w:ind w:left="566" w:hanging="570"/>
        <w:rPr>
          <w:color w:val="0070c0"/>
          <w:sz w:val="24"/>
          <w:szCs w:val="24"/>
          <w:u w:val="single"/>
        </w:rPr>
      </w:pPr>
      <w:r w:rsidDel="00000000" w:rsidR="00000000" w:rsidRPr="00000000">
        <w:rPr>
          <w:sz w:val="24"/>
          <w:szCs w:val="24"/>
          <w:rtl w:val="0"/>
        </w:rPr>
        <w:t xml:space="preserve">Tran, K. H., &amp; Duong, N. H. (2020). Earnings management to avoid earnings decreases and losses: Evidence from Vietnamese listed companies. </w:t>
      </w:r>
      <w:r w:rsidDel="00000000" w:rsidR="00000000" w:rsidRPr="00000000">
        <w:rPr>
          <w:i w:val="1"/>
          <w:iCs w:val="1"/>
          <w:sz w:val="24"/>
          <w:szCs w:val="24"/>
          <w:rtl w:val="0"/>
        </w:rPr>
        <w:t xml:space="preserve">Cogent Economics &amp; Finance, 8</w:t>
      </w:r>
      <w:r w:rsidDel="00000000" w:rsidR="00000000" w:rsidRPr="00000000">
        <w:rPr>
          <w:sz w:val="24"/>
          <w:szCs w:val="24"/>
          <w:rtl w:val="0"/>
        </w:rPr>
        <w:t xml:space="preserve">(1), 1849980. </w:t>
      </w:r>
      <w:hyperlink r:id="rId40">
        <w:r w:rsidDel="00000000" w:rsidR="00000000" w:rsidRPr="00000000">
          <w:rPr>
            <w:color w:val="0070c0"/>
            <w:sz w:val="24"/>
            <w:szCs w:val="24"/>
            <w:u w:val="single"/>
            <w:rtl w:val="0"/>
          </w:rPr>
          <w:t xml:space="preserve">https://doi.org/10.1080/23322039.2020.1849980</w:t>
        </w:r>
      </w:hyperlink>
      <w:r w:rsidDel="00000000" w:rsidR="00000000" w:rsidRPr="00000000">
        <w:rPr>
          <w:rtl w:val="0"/>
        </w:rPr>
      </w:r>
    </w:p>
    <w:p w:rsidR="00000000" w:rsidDel="00000000" w:rsidP="00000000" w:rsidRDefault="00000000" w:rsidRPr="00000000" w14:paraId="00000236">
      <w:pPr>
        <w:spacing w:line="360" w:lineRule="auto"/>
        <w:ind w:left="566" w:hanging="570"/>
        <w:rPr>
          <w:color w:val="0070c0"/>
          <w:sz w:val="24"/>
          <w:szCs w:val="24"/>
          <w:u w:val="single"/>
        </w:rPr>
      </w:pPr>
      <w:r w:rsidDel="00000000" w:rsidR="00000000" w:rsidRPr="00000000">
        <w:rPr>
          <w:sz w:val="24"/>
          <w:szCs w:val="24"/>
          <w:rtl w:val="0"/>
        </w:rPr>
        <w:t xml:space="preserve">Tran, N. M., Tran, M. H., &amp; Phan, T. D. (2022). Corporate social responsibility and earning management: Evidence from listed Vietnamese companies. Cogent Business &amp; Management, 9(1). </w:t>
      </w:r>
      <w:hyperlink r:id="rId41">
        <w:r w:rsidDel="00000000" w:rsidR="00000000" w:rsidRPr="00000000">
          <w:rPr>
            <w:color w:val="0070c0"/>
            <w:sz w:val="24"/>
            <w:szCs w:val="24"/>
            <w:u w:val="single"/>
            <w:rtl w:val="0"/>
          </w:rPr>
          <w:t xml:space="preserve">https://doi.org/10.1080/23311975.2022.2114303</w:t>
        </w:r>
      </w:hyperlink>
      <w:r w:rsidDel="00000000" w:rsidR="00000000" w:rsidRPr="00000000">
        <w:rPr>
          <w:rtl w:val="0"/>
        </w:rPr>
      </w:r>
    </w:p>
    <w:p w:rsidR="00000000" w:rsidDel="00000000" w:rsidP="00000000" w:rsidRDefault="00000000" w:rsidRPr="00000000" w14:paraId="00000237">
      <w:pPr>
        <w:spacing w:line="360" w:lineRule="auto"/>
        <w:ind w:left="566" w:hanging="570"/>
        <w:rPr>
          <w:sz w:val="24"/>
          <w:szCs w:val="24"/>
        </w:rPr>
      </w:pPr>
      <w:r w:rsidDel="00000000" w:rsidR="00000000" w:rsidRPr="00000000">
        <w:rPr>
          <w:sz w:val="24"/>
          <w:szCs w:val="24"/>
          <w:rtl w:val="0"/>
        </w:rPr>
        <w:t xml:space="preserve">United Nations. (2015). </w:t>
      </w:r>
      <w:r w:rsidDel="00000000" w:rsidR="00000000" w:rsidRPr="00000000">
        <w:rPr>
          <w:i w:val="1"/>
          <w:iCs w:val="1"/>
          <w:sz w:val="24"/>
          <w:szCs w:val="24"/>
          <w:rtl w:val="0"/>
        </w:rPr>
        <w:t xml:space="preserve">Transforming our world: The 2030 agenda for sustainable development</w:t>
      </w:r>
      <w:r w:rsidDel="00000000" w:rsidR="00000000" w:rsidRPr="00000000">
        <w:rPr>
          <w:sz w:val="24"/>
          <w:szCs w:val="24"/>
          <w:rtl w:val="0"/>
        </w:rPr>
        <w:t xml:space="preserve">. United Nations.</w:t>
      </w:r>
    </w:p>
    <w:p w:rsidR="00000000" w:rsidDel="00000000" w:rsidP="00000000" w:rsidRDefault="00000000" w:rsidRPr="00000000" w14:paraId="00000238">
      <w:pPr>
        <w:spacing w:line="360" w:lineRule="auto"/>
        <w:ind w:left="566" w:hanging="570"/>
        <w:rPr>
          <w:sz w:val="24"/>
          <w:szCs w:val="24"/>
        </w:rPr>
      </w:pPr>
      <w:r w:rsidDel="00000000" w:rsidR="00000000" w:rsidRPr="00000000">
        <w:rPr>
          <w:sz w:val="24"/>
          <w:szCs w:val="24"/>
          <w:rtl w:val="0"/>
        </w:rPr>
        <w:t xml:space="preserve">van Zanten, J. A., &amp; Huij, J. (2022). Corporate Sustainability Performance: Introducing an SDG Score and Testing Its Validity Relative to ESG Ratings. SSRN Electronic Journal. </w:t>
      </w:r>
      <w:hyperlink r:id="rId42">
        <w:r w:rsidDel="00000000" w:rsidR="00000000" w:rsidRPr="00000000">
          <w:rPr>
            <w:color w:val="0070c0"/>
            <w:sz w:val="24"/>
            <w:szCs w:val="24"/>
            <w:u w:val="single"/>
            <w:rtl w:val="0"/>
          </w:rPr>
          <w:t xml:space="preserve">https://doi.org/10.2139/ssrn.4186680</w:t>
        </w:r>
      </w:hyperlink>
      <w:r w:rsidDel="00000000" w:rsidR="00000000" w:rsidRPr="00000000">
        <w:rPr>
          <w:rtl w:val="0"/>
        </w:rPr>
      </w:r>
    </w:p>
    <w:p w:rsidR="00000000" w:rsidDel="00000000" w:rsidP="00000000" w:rsidRDefault="00000000" w:rsidRPr="00000000" w14:paraId="00000239">
      <w:pPr>
        <w:spacing w:line="360" w:lineRule="auto"/>
        <w:ind w:left="566" w:hanging="570"/>
        <w:rPr>
          <w:color w:val="0070c0"/>
          <w:sz w:val="24"/>
          <w:szCs w:val="24"/>
        </w:rPr>
      </w:pPr>
      <w:r w:rsidDel="00000000" w:rsidR="00000000" w:rsidRPr="00000000">
        <w:rPr>
          <w:sz w:val="24"/>
          <w:szCs w:val="24"/>
          <w:rtl w:val="0"/>
        </w:rPr>
        <w:t xml:space="preserve">Velte, P. (2019). The bidirectional relationship between ESG performance and earnings management - empirical evidence from Germany. Journal of Global Responsibility, 10(4), 322–338. </w:t>
      </w:r>
      <w:hyperlink r:id="rId43">
        <w:r w:rsidDel="00000000" w:rsidR="00000000" w:rsidRPr="00000000">
          <w:rPr>
            <w:color w:val="0070c0"/>
            <w:sz w:val="24"/>
            <w:szCs w:val="24"/>
            <w:u w:val="single"/>
            <w:rtl w:val="0"/>
          </w:rPr>
          <w:t xml:space="preserve">https://doi.org/10.1108/jgr-01-2019-0001</w:t>
        </w:r>
      </w:hyperlink>
      <w:r w:rsidDel="00000000" w:rsidR="00000000" w:rsidRPr="00000000">
        <w:rPr>
          <w:rtl w:val="0"/>
        </w:rPr>
      </w:r>
    </w:p>
    <w:p w:rsidR="00000000" w:rsidDel="00000000" w:rsidP="00000000" w:rsidRDefault="00000000" w:rsidRPr="00000000" w14:paraId="0000023A">
      <w:pPr>
        <w:spacing w:line="360" w:lineRule="auto"/>
        <w:ind w:left="566" w:hanging="570"/>
        <w:rPr>
          <w:color w:val="1155cc"/>
          <w:sz w:val="24"/>
          <w:szCs w:val="24"/>
          <w:u w:val="single"/>
        </w:rPr>
      </w:pPr>
      <w:r w:rsidDel="00000000" w:rsidR="00000000" w:rsidRPr="00000000">
        <w:rPr>
          <w:sz w:val="24"/>
          <w:szCs w:val="24"/>
          <w:rtl w:val="0"/>
        </w:rPr>
        <w:t xml:space="preserve">Yang, J., &amp; Liu, X. (2022). The role of sustainable development goals, financial knowledge and investment strategies on organizational profitability. </w:t>
      </w:r>
      <w:r w:rsidDel="00000000" w:rsidR="00000000" w:rsidRPr="00000000">
        <w:rPr>
          <w:i w:val="1"/>
          <w:iCs w:val="1"/>
          <w:sz w:val="24"/>
          <w:szCs w:val="24"/>
          <w:rtl w:val="0"/>
        </w:rPr>
        <w:t xml:space="preserve">Economic Research–Ekonomska Istraživanja, 36</w:t>
      </w:r>
      <w:r w:rsidDel="00000000" w:rsidR="00000000" w:rsidRPr="00000000">
        <w:rPr>
          <w:sz w:val="24"/>
          <w:szCs w:val="24"/>
          <w:rtl w:val="0"/>
        </w:rPr>
        <w:t xml:space="preserve">(1), 1–22. </w:t>
      </w:r>
      <w:hyperlink r:id="rId44">
        <w:r w:rsidDel="00000000" w:rsidR="00000000" w:rsidRPr="00000000">
          <w:rPr>
            <w:color w:val="0070c0"/>
            <w:sz w:val="24"/>
            <w:szCs w:val="24"/>
            <w:u w:val="single"/>
            <w:rtl w:val="0"/>
          </w:rPr>
          <w:t xml:space="preserve">https://doi.org/10.1080/1331677X.2022.2090405</w:t>
        </w:r>
      </w:hyperlink>
      <w:r w:rsidDel="00000000" w:rsidR="00000000" w:rsidRPr="00000000">
        <w:rPr>
          <w:rtl w:val="0"/>
        </w:rPr>
      </w:r>
    </w:p>
    <w:p w:rsidR="00000000" w:rsidDel="00000000" w:rsidP="00000000" w:rsidRDefault="00000000" w:rsidRPr="00000000" w14:paraId="0000023B">
      <w:pPr>
        <w:spacing w:line="360" w:lineRule="auto"/>
        <w:ind w:left="566" w:hanging="570"/>
        <w:rPr>
          <w:color w:val="0070c0"/>
          <w:sz w:val="24"/>
          <w:szCs w:val="24"/>
        </w:rPr>
      </w:pPr>
      <w:r w:rsidDel="00000000" w:rsidR="00000000" w:rsidRPr="00000000">
        <w:rPr>
          <w:sz w:val="24"/>
          <w:szCs w:val="24"/>
          <w:rtl w:val="0"/>
        </w:rPr>
        <w:t xml:space="preserve">Yu, E. P., Luu, B. V., &amp; Chen, C. H. (2020). Greenwashing in environmental, social and governance disclosures. Research in International Business and Finance, 52(52), 101192. </w:t>
      </w:r>
      <w:hyperlink r:id="rId45">
        <w:r w:rsidDel="00000000" w:rsidR="00000000" w:rsidRPr="00000000">
          <w:rPr>
            <w:color w:val="0070c0"/>
            <w:sz w:val="24"/>
            <w:szCs w:val="24"/>
            <w:u w:val="single"/>
            <w:rtl w:val="0"/>
          </w:rPr>
          <w:t xml:space="preserve">https://doi.org/10.1016/j.ribaf.2020.101192</w:t>
        </w:r>
      </w:hyperlink>
      <w:r w:rsidDel="00000000" w:rsidR="00000000" w:rsidRPr="00000000">
        <w:rPr>
          <w:rtl w:val="0"/>
        </w:rPr>
      </w:r>
    </w:p>
    <w:p w:rsidR="00000000" w:rsidDel="00000000" w:rsidP="00000000" w:rsidRDefault="00000000" w:rsidRPr="00000000" w14:paraId="0000023C">
      <w:pPr>
        <w:spacing w:line="360" w:lineRule="auto"/>
        <w:ind w:left="566" w:hanging="570"/>
        <w:rPr>
          <w:color w:val="0070c0"/>
          <w:sz w:val="24"/>
          <w:szCs w:val="24"/>
          <w:u w:val="single"/>
        </w:rPr>
      </w:pPr>
      <w:r w:rsidDel="00000000" w:rsidR="00000000" w:rsidRPr="00000000">
        <w:rPr>
          <w:sz w:val="24"/>
          <w:szCs w:val="24"/>
          <w:rtl w:val="0"/>
        </w:rPr>
        <w:t xml:space="preserve">Zampone, G., &amp; Guidi, M. (2024). Sustainability reporting and assurance practices’ contribution to SDG disclosure. </w:t>
      </w:r>
      <w:r w:rsidDel="00000000" w:rsidR="00000000" w:rsidRPr="00000000">
        <w:rPr>
          <w:i w:val="1"/>
          <w:iCs w:val="1"/>
          <w:sz w:val="24"/>
          <w:szCs w:val="24"/>
          <w:rtl w:val="0"/>
        </w:rPr>
        <w:t xml:space="preserve">Meditari Accountancy Research, 32</w:t>
      </w:r>
      <w:r w:rsidDel="00000000" w:rsidR="00000000" w:rsidRPr="00000000">
        <w:rPr>
          <w:sz w:val="24"/>
          <w:szCs w:val="24"/>
          <w:rtl w:val="0"/>
        </w:rPr>
        <w:t xml:space="preserve">(7), 236–265. </w:t>
      </w:r>
      <w:hyperlink r:id="rId46">
        <w:r w:rsidDel="00000000" w:rsidR="00000000" w:rsidRPr="00000000">
          <w:rPr>
            <w:color w:val="0070c0"/>
            <w:sz w:val="24"/>
            <w:szCs w:val="24"/>
            <w:u w:val="single"/>
            <w:rtl w:val="0"/>
          </w:rPr>
          <w:t xml:space="preserve">https://doi.org/10.1108/MEDAR-09-2023-2165</w:t>
        </w:r>
      </w:hyperlink>
      <w:r w:rsidDel="00000000" w:rsidR="00000000" w:rsidRPr="00000000">
        <w:rPr>
          <w:rtl w:val="0"/>
        </w:rPr>
      </w:r>
    </w:p>
    <w:p w:rsidR="00000000" w:rsidDel="00000000" w:rsidP="00000000" w:rsidRDefault="00000000" w:rsidRPr="00000000" w14:paraId="0000023D">
      <w:pPr>
        <w:spacing w:line="360" w:lineRule="auto"/>
        <w:ind w:left="566" w:hanging="570"/>
        <w:rPr>
          <w:sz w:val="24"/>
          <w:szCs w:val="24"/>
        </w:rPr>
      </w:pPr>
      <w:r w:rsidDel="00000000" w:rsidR="00000000" w:rsidRPr="00000000">
        <w:rPr>
          <w:sz w:val="24"/>
          <w:szCs w:val="24"/>
          <w:rtl w:val="0"/>
        </w:rPr>
        <w:t xml:space="preserve">Zhang, Z., Yap, T. L., &amp; Park, J. (2021). Does voluntary CSR disclosure and CSR performance influence earnings management? Empirical evidence from China. International Journal of Disclosure and Governance. </w:t>
      </w:r>
      <w:hyperlink r:id="rId47">
        <w:r w:rsidDel="00000000" w:rsidR="00000000" w:rsidRPr="00000000">
          <w:rPr>
            <w:color w:val="0070c0"/>
            <w:sz w:val="24"/>
            <w:szCs w:val="24"/>
            <w:u w:val="single"/>
            <w:rtl w:val="0"/>
          </w:rPr>
          <w:t xml:space="preserve">https://doi.org/10.1057/s41310-021-00104-6</w:t>
        </w:r>
      </w:hyperlink>
      <w:r w:rsidDel="00000000" w:rsidR="00000000" w:rsidRPr="00000000">
        <w:rPr>
          <w:rtl w:val="0"/>
        </w:rPr>
      </w:r>
    </w:p>
    <w:p w:rsidR="00000000" w:rsidDel="00000000" w:rsidP="00000000" w:rsidRDefault="00000000" w:rsidRPr="00000000" w14:paraId="0000023E">
      <w:pPr>
        <w:spacing w:line="360" w:lineRule="auto"/>
        <w:ind w:left="567" w:hanging="567"/>
        <w:rPr>
          <w:color w:val="0070c0"/>
          <w:sz w:val="24"/>
          <w:szCs w:val="24"/>
        </w:rPr>
      </w:pPr>
      <w:r w:rsidDel="00000000" w:rsidR="00000000" w:rsidRPr="00000000">
        <w:rPr>
          <w:sz w:val="24"/>
          <w:szCs w:val="24"/>
          <w:rtl w:val="0"/>
        </w:rPr>
        <w:t xml:space="preserve">Meier, D. S., Mata, R., &amp; Wulff, D. U. (2021, October 12). </w:t>
      </w:r>
      <w:r w:rsidDel="00000000" w:rsidR="00000000" w:rsidRPr="00000000">
        <w:rPr>
          <w:i w:val="1"/>
          <w:iCs w:val="1"/>
          <w:sz w:val="24"/>
          <w:szCs w:val="24"/>
          <w:rtl w:val="0"/>
        </w:rPr>
        <w:t xml:space="preserve">text2sdg: An R package to Monitor Sustainable  Development Goals from Text</w:t>
      </w:r>
      <w:r w:rsidDel="00000000" w:rsidR="00000000" w:rsidRPr="00000000">
        <w:rPr>
          <w:sz w:val="24"/>
          <w:szCs w:val="24"/>
          <w:rtl w:val="0"/>
        </w:rPr>
        <w:t xml:space="preserve">. arXiv.org. </w:t>
      </w:r>
      <w:hyperlink r:id="rId48">
        <w:r w:rsidDel="00000000" w:rsidR="00000000" w:rsidRPr="00000000">
          <w:rPr>
            <w:color w:val="0070c0"/>
            <w:sz w:val="24"/>
            <w:szCs w:val="24"/>
            <w:u w:val="single"/>
            <w:rtl w:val="0"/>
          </w:rPr>
          <w:t xml:space="preserve">https://arxiv.org/abs/2110.05856</w:t>
        </w:r>
      </w:hyperlink>
      <w:r w:rsidDel="00000000" w:rsidR="00000000" w:rsidRPr="00000000">
        <w:rPr>
          <w:color w:val="0070c0"/>
          <w:sz w:val="24"/>
          <w:szCs w:val="24"/>
          <w:rtl w:val="0"/>
        </w:rPr>
        <w:t xml:space="preserve"> </w:t>
      </w:r>
    </w:p>
    <w:p w:rsidR="00000000" w:rsidDel="00000000" w:rsidP="00000000" w:rsidRDefault="00000000" w:rsidRPr="00000000" w14:paraId="0000023F">
      <w:pPr>
        <w:spacing w:line="360" w:lineRule="auto"/>
        <w:ind w:left="567" w:hanging="567"/>
        <w:rPr>
          <w:sz w:val="24"/>
          <w:szCs w:val="24"/>
        </w:rPr>
      </w:pPr>
      <w:r w:rsidDel="00000000" w:rsidR="00000000" w:rsidRPr="00000000">
        <w:rPr>
          <w:sz w:val="24"/>
          <w:szCs w:val="24"/>
          <w:rtl w:val="0"/>
        </w:rPr>
        <w:t xml:space="preserve">Ramos, D. L., Chen, S., Rabeeu, A., &amp; Rahim, A. B. A. (2022). Does SDG coverage influence firm performance? </w:t>
      </w:r>
      <w:r w:rsidDel="00000000" w:rsidR="00000000" w:rsidRPr="00000000">
        <w:rPr>
          <w:i w:val="1"/>
          <w:iCs w:val="1"/>
          <w:sz w:val="24"/>
          <w:szCs w:val="24"/>
          <w:rtl w:val="0"/>
        </w:rPr>
        <w:t xml:space="preserve">Sustainability</w:t>
      </w:r>
      <w:r w:rsidDel="00000000" w:rsidR="00000000" w:rsidRPr="00000000">
        <w:rPr>
          <w:sz w:val="24"/>
          <w:szCs w:val="24"/>
          <w:rtl w:val="0"/>
        </w:rPr>
        <w:t xml:space="preserve">, </w:t>
      </w:r>
      <w:r w:rsidDel="00000000" w:rsidR="00000000" w:rsidRPr="00000000">
        <w:rPr>
          <w:i w:val="1"/>
          <w:iCs w:val="1"/>
          <w:sz w:val="24"/>
          <w:szCs w:val="24"/>
          <w:rtl w:val="0"/>
        </w:rPr>
        <w:t xml:space="preserve">14</w:t>
      </w:r>
      <w:r w:rsidDel="00000000" w:rsidR="00000000" w:rsidRPr="00000000">
        <w:rPr>
          <w:sz w:val="24"/>
          <w:szCs w:val="24"/>
          <w:rtl w:val="0"/>
        </w:rPr>
        <w:t xml:space="preserve">(9), 4870. </w:t>
      </w:r>
      <w:hyperlink r:id="rId49">
        <w:r w:rsidDel="00000000" w:rsidR="00000000" w:rsidRPr="00000000">
          <w:rPr>
            <w:color w:val="0070c0"/>
            <w:sz w:val="24"/>
            <w:szCs w:val="24"/>
            <w:u w:val="single"/>
            <w:rtl w:val="0"/>
          </w:rPr>
          <w:t xml:space="preserve">https://doi.org/10.3390/su14094870</w:t>
        </w:r>
      </w:hyperlink>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240">
      <w:pPr>
        <w:spacing w:line="360" w:lineRule="auto"/>
        <w:ind w:left="567" w:hanging="567"/>
        <w:rPr>
          <w:color w:val="0070c0"/>
          <w:sz w:val="24"/>
          <w:szCs w:val="24"/>
        </w:rPr>
      </w:pPr>
      <w:r w:rsidDel="00000000" w:rsidR="00000000" w:rsidRPr="00000000">
        <w:rPr>
          <w:sz w:val="24"/>
          <w:szCs w:val="24"/>
          <w:rtl w:val="0"/>
        </w:rPr>
        <w:t xml:space="preserve">Saha, S., Hasan, A. R., Islam, K. R., &amp; Priom, M. a. I. (2024). Sustainable Development Goals (SDGs) practices and firms’ financial performance: Moderating role of country governance. </w:t>
      </w:r>
      <w:r w:rsidDel="00000000" w:rsidR="00000000" w:rsidRPr="00000000">
        <w:rPr>
          <w:i w:val="1"/>
          <w:iCs w:val="1"/>
          <w:sz w:val="24"/>
          <w:szCs w:val="24"/>
          <w:rtl w:val="0"/>
        </w:rPr>
        <w:t xml:space="preserve">Green Finance</w:t>
      </w:r>
      <w:r w:rsidDel="00000000" w:rsidR="00000000" w:rsidRPr="00000000">
        <w:rPr>
          <w:sz w:val="24"/>
          <w:szCs w:val="24"/>
          <w:rtl w:val="0"/>
        </w:rPr>
        <w:t xml:space="preserve">, </w:t>
      </w:r>
      <w:r w:rsidDel="00000000" w:rsidR="00000000" w:rsidRPr="00000000">
        <w:rPr>
          <w:i w:val="1"/>
          <w:iCs w:val="1"/>
          <w:sz w:val="24"/>
          <w:szCs w:val="24"/>
          <w:rtl w:val="0"/>
        </w:rPr>
        <w:t xml:space="preserve">6</w:t>
      </w:r>
      <w:r w:rsidDel="00000000" w:rsidR="00000000" w:rsidRPr="00000000">
        <w:rPr>
          <w:sz w:val="24"/>
          <w:szCs w:val="24"/>
          <w:rtl w:val="0"/>
        </w:rPr>
        <w:t xml:space="preserve">(1), 162–198. </w:t>
      </w:r>
      <w:hyperlink r:id="rId50">
        <w:r w:rsidDel="00000000" w:rsidR="00000000" w:rsidRPr="00000000">
          <w:rPr>
            <w:color w:val="0070c0"/>
            <w:sz w:val="24"/>
            <w:szCs w:val="24"/>
            <w:u w:val="single"/>
            <w:rtl w:val="0"/>
          </w:rPr>
          <w:t xml:space="preserve">https://doi.org/10.3934/gf.2024007</w:t>
        </w:r>
      </w:hyperlink>
      <w:r w:rsidDel="00000000" w:rsidR="00000000" w:rsidRPr="00000000">
        <w:rPr>
          <w:color w:val="0070c0"/>
          <w:sz w:val="24"/>
          <w:szCs w:val="24"/>
          <w:rtl w:val="0"/>
        </w:rPr>
        <w:t xml:space="preserve"> </w:t>
      </w:r>
    </w:p>
    <w:p w:rsidR="00000000" w:rsidDel="00000000" w:rsidP="00000000" w:rsidRDefault="00000000" w:rsidRPr="00000000" w14:paraId="00000241">
      <w:pPr>
        <w:spacing w:after="120" w:line="288" w:lineRule="auto"/>
        <w:ind w:firstLine="426"/>
        <w:rPr>
          <w:sz w:val="24"/>
          <w:szCs w:val="24"/>
        </w:rPr>
      </w:pPr>
      <w:r w:rsidDel="00000000" w:rsidR="00000000" w:rsidRPr="00000000">
        <w:rPr>
          <w:sz w:val="24"/>
          <w:szCs w:val="24"/>
          <w:rtl w:val="0"/>
        </w:rPr>
        <w:t xml:space="preserve">Di Tommaso, C., &amp; Thornton, J. (2020). Do ESG scores effect bank risk taking and value? Evidence from European banks. </w:t>
      </w:r>
      <w:r w:rsidDel="00000000" w:rsidR="00000000" w:rsidRPr="00000000">
        <w:rPr>
          <w:i w:val="1"/>
          <w:iCs w:val="1"/>
          <w:sz w:val="24"/>
          <w:szCs w:val="24"/>
          <w:rtl w:val="0"/>
        </w:rPr>
        <w:t xml:space="preserve">Corporate Social Responsibility and Environmental Management</w:t>
      </w:r>
      <w:r w:rsidDel="00000000" w:rsidR="00000000" w:rsidRPr="00000000">
        <w:rPr>
          <w:sz w:val="24"/>
          <w:szCs w:val="24"/>
          <w:rtl w:val="0"/>
        </w:rPr>
        <w:t xml:space="preserve">, </w:t>
      </w:r>
      <w:r w:rsidDel="00000000" w:rsidR="00000000" w:rsidRPr="00000000">
        <w:rPr>
          <w:i w:val="1"/>
          <w:iCs w:val="1"/>
          <w:sz w:val="24"/>
          <w:szCs w:val="24"/>
          <w:rtl w:val="0"/>
        </w:rPr>
        <w:t xml:space="preserve">27</w:t>
      </w:r>
      <w:r w:rsidDel="00000000" w:rsidR="00000000" w:rsidRPr="00000000">
        <w:rPr>
          <w:sz w:val="24"/>
          <w:szCs w:val="24"/>
          <w:rtl w:val="0"/>
        </w:rPr>
        <w:t xml:space="preserve">(5), 2286–2298. </w:t>
      </w:r>
      <w:hyperlink r:id="rId51">
        <w:r w:rsidDel="00000000" w:rsidR="00000000" w:rsidRPr="00000000">
          <w:rPr>
            <w:color w:val="0070c0"/>
            <w:sz w:val="24"/>
            <w:szCs w:val="24"/>
            <w:u w:val="single"/>
            <w:rtl w:val="0"/>
          </w:rPr>
          <w:t xml:space="preserve">https://doi.org/10.1002/csr.1964</w:t>
        </w:r>
      </w:hyperlink>
      <w:r w:rsidDel="00000000" w:rsidR="00000000" w:rsidRPr="00000000">
        <w:rPr>
          <w:rtl w:val="0"/>
        </w:rPr>
      </w:r>
    </w:p>
    <w:sectPr>
      <w:headerReference r:id="rId52" w:type="default"/>
      <w:footerReference r:id="rId53" w:type="default"/>
      <w:footerReference r:id="rId54" w:type="first"/>
      <w:footerReference r:id="rId55" w:type="even"/>
      <w:pgSz w:h="16834" w:w="11909" w:orient="portrait"/>
      <w:pgMar w:bottom="1134" w:top="1134" w:left="1134" w:right="1134" w:header="561"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Cambria Math">
    <w:embedRegular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tabs>
        <w:tab w:val="center" w:leader="none" w:pos="4680"/>
        <w:tab w:val="right" w:leader="none" w:pos="9360"/>
      </w:tabs>
      <w:spacing w:line="240" w:lineRule="auto"/>
      <w:ind w:right="360"/>
      <w:jc w:val="center"/>
      <w:rPr>
        <w:color w:val="000000"/>
        <w:sz w:val="26"/>
        <w:szCs w:val="26"/>
      </w:rPr>
    </w:pP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left"/>
      <w:rPr>
        <w:color w:val="000000"/>
        <w:sz w:val="26"/>
        <w:szCs w:val="2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b w:val="1"/>
        <w:bCs w:val="1"/>
        <w:sz w:val="24"/>
        <w:szCs w:val="24"/>
        <w:rtl w:val="0"/>
      </w:rPr>
      <w:t xml:space="preserve">FTU Working Paper Series, Vol.2  No.3  (01/2025) |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8">
    <w:pPr>
      <w:spacing w:line="276" w:lineRule="auto"/>
      <w:jc w:val="right"/>
      <w:rPr/>
    </w:pPr>
    <w:r w:rsidDel="00000000" w:rsidR="00000000" w:rsidRPr="00000000">
      <w:rPr>
        <w:b w:val="1"/>
        <w:bCs w:val="1"/>
        <w:sz w:val="24"/>
        <w:szCs w:val="24"/>
        <w:rtl w:val="0"/>
      </w:rPr>
      <w:t xml:space="preserve">FTU Working Paper Series, Vol.  No.  (01/2025) |</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16511</wp:posOffset>
              </wp:positionH>
              <wp:positionV relativeFrom="paragraph">
                <wp:posOffset>-276859</wp:posOffset>
              </wp:positionV>
              <wp:extent cx="2329145" cy="0"/>
              <wp:effectExtent b="0" l="0" r="0" t="0"/>
              <wp:wrapNone/>
              <wp:docPr id="9" name=""/>
              <a:graphic>
                <a:graphicData uri="http://schemas.microsoft.com/office/word/2010/wordprocessingShape">
                  <wps:wsp>
                    <wps:cNvCnPr/>
                    <wps:spPr>
                      <a:xfrm>
                        <a:off x="4181428" y="3780000"/>
                        <a:ext cx="2329145" cy="0"/>
                      </a:xfrm>
                      <a:prstGeom prst="straightConnector1">
                        <a:avLst/>
                      </a:prstGeom>
                      <a:noFill/>
                      <a:ln cap="flat" cmpd="sng" w="12700">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16511</wp:posOffset>
              </wp:positionH>
              <wp:positionV relativeFrom="paragraph">
                <wp:posOffset>-276859</wp:posOffset>
              </wp:positionV>
              <wp:extent cx="2329145" cy="0"/>
              <wp:effectExtent b="0" l="0" r="0" t="0"/>
              <wp:wrapNone/>
              <wp:docPr id="9"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329145" cy="0"/>
                      </a:xfrm>
                      <a:prstGeom prst="rect"/>
                      <a:ln/>
                    </pic:spPr>
                  </pic:pic>
                </a:graphicData>
              </a:graphic>
            </wp:anchor>
          </w:drawing>
        </mc:Fallback>
      </mc:AlternateContent>
    </w:r>
  </w:p>
  <w:p w:rsidR="00000000" w:rsidDel="00000000" w:rsidP="00000000" w:rsidRDefault="00000000" w:rsidRPr="00000000" w14:paraId="00000249">
    <w:pPr>
      <w:spacing w:line="276" w:lineRule="auto"/>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Hà Nguyễn Trâm Anh, Email: k62.2311825001@ftu.edu.vn</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3">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left"/>
      <w:rPr>
        <w:color w:val="000000"/>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vi"/>
      </w:rPr>
    </w:rPrDefault>
    <w:pPrDefault>
      <w:pPr>
        <w:spacing w:line="33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a" w:customStyle="1">
    <w:basedOn w:val="TableNormal1"/>
    <w:tblPr>
      <w:tblStyleRowBandSize w:val="1"/>
      <w:tblStyleColBandSize w:val="1"/>
    </w:tblPr>
  </w:style>
  <w:style w:type="table" w:styleId="a0" w:customStyle="1">
    <w:basedOn w:val="TableNormal1"/>
    <w:tblPr>
      <w:tblStyleRowBandSize w:val="1"/>
      <w:tblStyleColBandSize w:val="1"/>
      <w:tblCellMar>
        <w:top w:w="0.0" w:type="dxa"/>
        <w:left w:w="115.0" w:type="dxa"/>
        <w:bottom w:w="0.0" w:type="dxa"/>
        <w:right w:w="115.0" w:type="dxa"/>
      </w:tblCellMar>
    </w:tblPr>
  </w:style>
  <w:style w:type="table" w:styleId="a1" w:customStyle="1">
    <w:basedOn w:val="TableNormal1"/>
    <w:tblPr>
      <w:tblStyleRowBandSize w:val="1"/>
      <w:tblStyleColBandSize w:val="1"/>
      <w:tblCellMar>
        <w:top w:w="15.0" w:type="dxa"/>
        <w:left w:w="15.0" w:type="dxa"/>
        <w:bottom w:w="15.0" w:type="dxa"/>
        <w:right w:w="15.0" w:type="dxa"/>
      </w:tblCellMar>
    </w:tblPr>
  </w:style>
  <w:style w:type="table" w:styleId="a2" w:customStyle="1">
    <w:basedOn w:val="TableNormal1"/>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NormalWeb">
    <w:name w:val="Normal (Web)"/>
    <w:basedOn w:val="Normal"/>
    <w:uiPriority w:val="99"/>
    <w:semiHidden w:val="1"/>
    <w:unhideWhenUsed w:val="1"/>
    <w:rsid w:val="00B24115"/>
    <w:pPr>
      <w:spacing w:after="100" w:afterAutospacing="1" w:before="100" w:beforeAutospacing="1" w:line="240" w:lineRule="auto"/>
    </w:pPr>
    <w:rPr>
      <w:sz w:val="24"/>
      <w:szCs w:val="24"/>
    </w:rPr>
  </w:style>
  <w:style w:type="paragraph" w:styleId="Header">
    <w:name w:val="header"/>
    <w:basedOn w:val="Normal"/>
    <w:link w:val="HeaderChar"/>
    <w:uiPriority w:val="99"/>
    <w:unhideWhenUsed w:val="1"/>
    <w:rsid w:val="00E3004C"/>
    <w:pPr>
      <w:tabs>
        <w:tab w:val="center" w:pos="4680"/>
        <w:tab w:val="right" w:pos="9360"/>
      </w:tabs>
      <w:spacing w:line="240" w:lineRule="auto"/>
    </w:pPr>
  </w:style>
  <w:style w:type="character" w:styleId="HeaderChar" w:customStyle="1">
    <w:name w:val="Header Char"/>
    <w:basedOn w:val="DefaultParagraphFont"/>
    <w:link w:val="Header"/>
    <w:uiPriority w:val="99"/>
    <w:rsid w:val="00E3004C"/>
  </w:style>
  <w:style w:type="paragraph" w:styleId="Footer">
    <w:name w:val="footer"/>
    <w:basedOn w:val="Normal"/>
    <w:link w:val="FooterChar"/>
    <w:uiPriority w:val="99"/>
    <w:unhideWhenUsed w:val="1"/>
    <w:rsid w:val="00E3004C"/>
    <w:pPr>
      <w:tabs>
        <w:tab w:val="center" w:pos="4680"/>
        <w:tab w:val="right" w:pos="9360"/>
      </w:tabs>
      <w:spacing w:line="240" w:lineRule="auto"/>
    </w:pPr>
  </w:style>
  <w:style w:type="character" w:styleId="FooterChar" w:customStyle="1">
    <w:name w:val="Footer Char"/>
    <w:basedOn w:val="DefaultParagraphFont"/>
    <w:link w:val="Footer"/>
    <w:uiPriority w:val="99"/>
    <w:rsid w:val="00E3004C"/>
  </w:style>
  <w:style w:type="character" w:styleId="PageNumber">
    <w:name w:val="page number"/>
    <w:basedOn w:val="DefaultParagraphFont"/>
    <w:uiPriority w:val="99"/>
    <w:semiHidden w:val="1"/>
    <w:unhideWhenUsed w:val="1"/>
    <w:rsid w:val="00563032"/>
  </w:style>
  <w:style w:type="paragraph" w:styleId="CommentSubject">
    <w:name w:val="annotation subject"/>
    <w:basedOn w:val="CommentText"/>
    <w:next w:val="CommentText"/>
    <w:link w:val="CommentSubjectChar"/>
    <w:uiPriority w:val="99"/>
    <w:semiHidden w:val="1"/>
    <w:unhideWhenUsed w:val="1"/>
    <w:rsid w:val="00747825"/>
    <w:rPr>
      <w:b w:val="1"/>
      <w:bCs w:val="1"/>
    </w:rPr>
  </w:style>
  <w:style w:type="character" w:styleId="CommentSubjectChar" w:customStyle="1">
    <w:name w:val="Comment Subject Char"/>
    <w:basedOn w:val="CommentTextChar"/>
    <w:link w:val="CommentSubject"/>
    <w:uiPriority w:val="99"/>
    <w:semiHidden w:val="1"/>
    <w:rsid w:val="00747825"/>
    <w:rPr>
      <w:b w:val="1"/>
      <w:bCs w:val="1"/>
      <w:sz w:val="20"/>
      <w:szCs w:val="20"/>
    </w:rPr>
  </w:style>
  <w:style w:type="paragraph" w:styleId="BalloonText">
    <w:name w:val="Balloon Text"/>
    <w:basedOn w:val="Normal"/>
    <w:link w:val="BalloonTextChar"/>
    <w:uiPriority w:val="99"/>
    <w:semiHidden w:val="1"/>
    <w:unhideWhenUsed w:val="1"/>
    <w:rsid w:val="00747825"/>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47825"/>
    <w:rPr>
      <w:rFonts w:ascii="Segoe UI" w:cs="Segoe UI" w:hAnsi="Segoe UI"/>
      <w:sz w:val="18"/>
      <w:szCs w:val="18"/>
    </w:r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character" w:styleId="Hyperlink">
    <w:name w:val="Hyperlink"/>
    <w:basedOn w:val="DefaultParagraphFont"/>
    <w:uiPriority w:val="99"/>
    <w:unhideWhenUsed w:val="1"/>
    <w:rsid w:val="001E2997"/>
    <w:rPr>
      <w:color w:val="0000ff" w:themeColor="hyperlink"/>
      <w:u w:val="single"/>
    </w:rPr>
  </w:style>
  <w:style w:type="character" w:styleId="UnresolvedMention">
    <w:name w:val="Unresolved Mention"/>
    <w:basedOn w:val="DefaultParagraphFont"/>
    <w:uiPriority w:val="99"/>
    <w:semiHidden w:val="1"/>
    <w:unhideWhenUsed w:val="1"/>
    <w:rsid w:val="001E2997"/>
    <w:rPr>
      <w:color w:val="605e5c"/>
      <w:shd w:color="auto" w:fill="e1dfdd" w:val="clear"/>
    </w:rPr>
  </w:style>
  <w:style w:type="table" w:styleId="TableGrid">
    <w:name w:val="Table Grid"/>
    <w:basedOn w:val="TableNormal"/>
    <w:uiPriority w:val="39"/>
    <w:rsid w:val="00850019"/>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noteText">
    <w:name w:val="footnote text"/>
    <w:basedOn w:val="Normal"/>
    <w:link w:val="FootnoteTextChar"/>
    <w:uiPriority w:val="99"/>
    <w:semiHidden w:val="1"/>
    <w:unhideWhenUsed w:val="1"/>
    <w:rsid w:val="004172DC"/>
    <w:pPr>
      <w:spacing w:line="240" w:lineRule="auto"/>
    </w:pPr>
    <w:rPr>
      <w:sz w:val="20"/>
      <w:szCs w:val="20"/>
    </w:rPr>
  </w:style>
  <w:style w:type="character" w:styleId="FootnoteTextChar" w:customStyle="1">
    <w:name w:val="Footnote Text Char"/>
    <w:basedOn w:val="DefaultParagraphFont"/>
    <w:link w:val="FootnoteText"/>
    <w:uiPriority w:val="99"/>
    <w:semiHidden w:val="1"/>
    <w:rsid w:val="004172DC"/>
    <w:rPr>
      <w:sz w:val="20"/>
      <w:szCs w:val="20"/>
    </w:rPr>
  </w:style>
  <w:style w:type="character" w:styleId="FootnoteReference">
    <w:name w:val="footnote reference"/>
    <w:basedOn w:val="DefaultParagraphFont"/>
    <w:uiPriority w:val="99"/>
    <w:semiHidden w:val="1"/>
    <w:unhideWhenUsed w:val="1"/>
    <w:rsid w:val="004172DC"/>
    <w:rPr>
      <w:vertAlign w:val="superscript"/>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1080/23322039.2020.1849980" TargetMode="External"/><Relationship Id="rId42" Type="http://schemas.openxmlformats.org/officeDocument/2006/relationships/hyperlink" Target="https://doi.org/10.2139/ssrn.4186680" TargetMode="External"/><Relationship Id="rId41" Type="http://schemas.openxmlformats.org/officeDocument/2006/relationships/hyperlink" Target="https://doi.org/10.1080/23311975.2022.2114303" TargetMode="External"/><Relationship Id="rId44" Type="http://schemas.openxmlformats.org/officeDocument/2006/relationships/hyperlink" Target="https://doi.org/10.1080/1331677X.2022.2090405" TargetMode="External"/><Relationship Id="rId43" Type="http://schemas.openxmlformats.org/officeDocument/2006/relationships/hyperlink" Target="https://doi.org/10.1108/jgr-01-2019-0001" TargetMode="External"/><Relationship Id="rId46" Type="http://schemas.openxmlformats.org/officeDocument/2006/relationships/hyperlink" Target="https://doi.org/10.1108/MEDAR-09-2023-2165" TargetMode="External"/><Relationship Id="rId45" Type="http://schemas.openxmlformats.org/officeDocument/2006/relationships/hyperlink" Target="https://doi.org/10.1016/j.ribaf.2020.10119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3390/su14137815" TargetMode="External"/><Relationship Id="rId48" Type="http://schemas.openxmlformats.org/officeDocument/2006/relationships/hyperlink" Target="https://arxiv.org/abs/2110.05856" TargetMode="External"/><Relationship Id="rId47" Type="http://schemas.openxmlformats.org/officeDocument/2006/relationships/hyperlink" Target="https://doi.org/10.1057/s41310-021-00104-6" TargetMode="External"/><Relationship Id="rId49" Type="http://schemas.openxmlformats.org/officeDocument/2006/relationships/hyperlink" Target="https://doi.org/10.3390/su14094870"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 Id="rId31" Type="http://schemas.openxmlformats.org/officeDocument/2006/relationships/hyperlink" Target="https://doi.org/10.1002/csr.1770" TargetMode="External"/><Relationship Id="rId30" Type="http://schemas.openxmlformats.org/officeDocument/2006/relationships/hyperlink" Target="https://doi.org/10.1080/20430795.2020.1727724" TargetMode="External"/><Relationship Id="rId33" Type="http://schemas.openxmlformats.org/officeDocument/2006/relationships/hyperlink" Target="https://doi.org/10.1080/23311975.2022.2082014" TargetMode="External"/><Relationship Id="rId32" Type="http://schemas.openxmlformats.org/officeDocument/2006/relationships/hyperlink" Target="https://doi.org/10.38203/JIEM.022.2.0048" TargetMode="External"/><Relationship Id="rId35" Type="http://schemas.openxmlformats.org/officeDocument/2006/relationships/hyperlink" Target="https://doi.org/10.1108/JAAR-07-2023-0223" TargetMode="External"/><Relationship Id="rId34" Type="http://schemas.openxmlformats.org/officeDocument/2006/relationships/hyperlink" Target="https://doi.org/10.1111/jifm.12194" TargetMode="External"/><Relationship Id="rId37" Type="http://schemas.openxmlformats.org/officeDocument/2006/relationships/hyperlink" Target="https://doi.org/10.1080/14783363.2019.1652586" TargetMode="External"/><Relationship Id="rId36" Type="http://schemas.openxmlformats.org/officeDocument/2006/relationships/hyperlink" Target="https://doi.org/10.1007/s11156-005-5324-7" TargetMode="External"/><Relationship Id="rId39" Type="http://schemas.openxmlformats.org/officeDocument/2006/relationships/hyperlink" Target="https://doi.org/10.3390/su13148007" TargetMode="External"/><Relationship Id="rId38" Type="http://schemas.openxmlformats.org/officeDocument/2006/relationships/hyperlink" Target="https://doi.org/10.3846/btp.2021.14940" TargetMode="External"/><Relationship Id="rId20" Type="http://schemas.openxmlformats.org/officeDocument/2006/relationships/hyperlink" Target="https://doi.org/10.1002/cjas.178" TargetMode="External"/><Relationship Id="rId22" Type="http://schemas.openxmlformats.org/officeDocument/2006/relationships/hyperlink" Target="https://doi.org/10.3390/su12124881" TargetMode="External"/><Relationship Id="rId21" Type="http://schemas.openxmlformats.org/officeDocument/2006/relationships/hyperlink" Target="https://doi.org/10.1108/JBSED-09-2022-0099" TargetMode="External"/><Relationship Id="rId24" Type="http://schemas.openxmlformats.org/officeDocument/2006/relationships/hyperlink" Target="https://doi.org/10.3390/su142215358" TargetMode="External"/><Relationship Id="rId23" Type="http://schemas.openxmlformats.org/officeDocument/2006/relationships/hyperlink" Target="https://doi.org/10.2308/acch.1999.13.4.365" TargetMode="External"/><Relationship Id="rId26" Type="http://schemas.openxmlformats.org/officeDocument/2006/relationships/hyperlink" Target="https://doi.org/10.5465/amd.2019.0275" TargetMode="External"/><Relationship Id="rId25" Type="http://schemas.openxmlformats.org/officeDocument/2006/relationships/hyperlink" Target="https://doi.org/10.1186/s43093-023-00206-3" TargetMode="External"/><Relationship Id="rId28" Type="http://schemas.openxmlformats.org/officeDocument/2006/relationships/hyperlink" Target="https://doi.org/10.1016/0304-405X(76)90026-X" TargetMode="External"/><Relationship Id="rId27" Type="http://schemas.openxmlformats.org/officeDocument/2006/relationships/hyperlink" Target="https://doi.org/10.2139/ssrn.3730792" TargetMode="External"/><Relationship Id="rId29" Type="http://schemas.openxmlformats.org/officeDocument/2006/relationships/hyperlink" Target="https://pmc.ncbi.nlm.nih.gov/articles/PMC8144281/" TargetMode="External"/><Relationship Id="rId51" Type="http://schemas.openxmlformats.org/officeDocument/2006/relationships/hyperlink" Target="https://doi.org/10.1002/csr.1964" TargetMode="External"/><Relationship Id="rId50" Type="http://schemas.openxmlformats.org/officeDocument/2006/relationships/hyperlink" Target="https://doi.org/10.3934/gf.2024007" TargetMode="External"/><Relationship Id="rId53" Type="http://schemas.openxmlformats.org/officeDocument/2006/relationships/footer" Target="footer2.xml"/><Relationship Id="rId52" Type="http://schemas.openxmlformats.org/officeDocument/2006/relationships/header" Target="header1.xml"/><Relationship Id="rId11" Type="http://schemas.openxmlformats.org/officeDocument/2006/relationships/hyperlink" Target="https://doi.org/10.1057/s41310-023-00213-4" TargetMode="External"/><Relationship Id="rId55" Type="http://schemas.openxmlformats.org/officeDocument/2006/relationships/footer" Target="footer1.xml"/><Relationship Id="rId10" Type="http://schemas.openxmlformats.org/officeDocument/2006/relationships/hyperlink" Target="https://doi.org/10.3390/su151612348" TargetMode="External"/><Relationship Id="rId54" Type="http://schemas.openxmlformats.org/officeDocument/2006/relationships/footer" Target="footer3.xml"/><Relationship Id="rId13" Type="http://schemas.openxmlformats.org/officeDocument/2006/relationships/hyperlink" Target="https://doi.org/10.3390/su12156089" TargetMode="External"/><Relationship Id="rId12" Type="http://schemas.openxmlformats.org/officeDocument/2006/relationships/hyperlink" Target="https://doi.org/10.1016/j.jclepro.2016.01.111" TargetMode="External"/><Relationship Id="rId15" Type="http://schemas.openxmlformats.org/officeDocument/2006/relationships/hyperlink" Target="https://doi.org/10.1177/21582440241266974" TargetMode="External"/><Relationship Id="rId14" Type="http://schemas.openxmlformats.org/officeDocument/2006/relationships/hyperlink" Target="https://doi.org/10.1057/s41310-021-00125-1" TargetMode="External"/><Relationship Id="rId17" Type="http://schemas.openxmlformats.org/officeDocument/2006/relationships/hyperlink" Target="https://doi.org/10.1108/ara-11-2020-0174" TargetMode="External"/><Relationship Id="rId16" Type="http://schemas.openxmlformats.org/officeDocument/2006/relationships/hyperlink" Target="https://doi.org/10.1080/23322039.2023.2290359" TargetMode="External"/><Relationship Id="rId19" Type="http://schemas.openxmlformats.org/officeDocument/2006/relationships/hyperlink" Target="https://ec.europa.eu/finance/docs/policy/190618-climate-related-information-reporting-guidelines_en.pdf" TargetMode="External"/><Relationship Id="rId18" Type="http://schemas.openxmlformats.org/officeDocument/2006/relationships/hyperlink" Target="https://doi.org/10.1177/2340944422114091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CambriaMath-regular.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ERuPUz99LDJFRbKbGwll5EV/XQ==">CgMxLjAaEgoBMBINCgsIB0IHEgVDYXJkbxoSCgExEg0KCwgHQgcSBUNhcmRvMg1oLmdqeGxoM3d3bTM1Mg5oLmtla2poMXY3ZXNucDIOaC44OTIybTc5ZTNoMjgyDmgucHc3MjZtZWlxbGt2Mg1oLnNtaXRyNWx5NTcyMg5oLmt3bDEzNWxmbXA1cDIOaC5pNnJiYjU2OXQ1dWQyDmguejhyYWU4aXhsZzd0Mg5oLjN0MjVnNGhzZHA1ZDIOaC51c3U0YXBvZnM2MTgyDmgueXhxY3h3NGhwenc3Mg5oLjZ6aWRmNnE1bmR6ZjIOaC41ZjJrb3Y1MW9oY2cyDmguOG56bDkzZzM0NTVyMg5oLno0ZnFtNnV3ZmkxMjIOaC5tOXNjM3A3ajJkNmQyDmguaDdpYm9lM3JwZGlpOAByITFsdUdNU1VEaUowS2VyWXUwLXBHYk1NSi10SUFhLS0y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2026-05-20T10:28:00Z</dcterms:created>
  <dc:creator>Hà Nguyễn Trâm Anh</dc:creator>
</cp:coreProperties>
</file>