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pPr w:leftFromText="180" w:rightFromText="180" w:topFromText="0" w:bottomFromText="160" w:vertAnchor="text" w:horzAnchor="text" w:tblpX="0" w:tblpY="0"/>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29znxjo4tod4"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2026.2.3.2</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 NHẠY QUỐC GIA VÀ PHẢN ỨNG CỦA CÁN CÂN THƯƠNG MẠI CÁC QUỐC </w:t>
      </w:r>
      <w:r w:rsidDel="00000000" w:rsidR="00000000" w:rsidRPr="00000000">
        <w:rPr>
          <w:rFonts w:ascii="Times New Roman" w:cs="Times New Roman" w:eastAsia="Times New Roman" w:hAnsi="Times New Roman"/>
          <w:b w:val="1"/>
          <w:bCs w:val="1"/>
          <w:sz w:val="24"/>
          <w:szCs w:val="24"/>
          <w:rtl w:val="0"/>
        </w:rPr>
        <w:t xml:space="preserve">GIA CHÂU Á TRƯỚC BIẾN ĐỘNG CỦA CÁC CÚ SỐC TOÀN CẦU</w:t>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Anh Tâm</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Nguyễn Trường Thanh Tài,</w:t>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Nguyễn Thị Thu Hiền, Hồ Hoàng Thế Vinh, </w:t>
      </w:r>
    </w:p>
    <w:p w:rsidR="00000000" w:rsidDel="00000000" w:rsidP="00000000" w:rsidRDefault="00000000" w:rsidRPr="00000000" w14:paraId="000000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K62 - Kinh tế đối ngoại</w:t>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Đại học Ngoại thương - Phân hiệu tại TP. Hồ Chí Minh</w:t>
      </w: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TS. Lê Thị Thanh Ngân</w:t>
      </w:r>
    </w:p>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w:t>
      </w:r>
    </w:p>
    <w:p w:rsidR="00000000" w:rsidDel="00000000" w:rsidP="00000000" w:rsidRDefault="00000000" w:rsidRPr="00000000" w14:paraId="0000001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Đại học Ngoại thương - Phân hiệu tại TP. Hồ Chí Minh</w:t>
      </w:r>
      <w:r w:rsidDel="00000000" w:rsidR="00000000" w:rsidRPr="00000000">
        <w:rPr>
          <w:rtl w:val="0"/>
        </w:rPr>
      </w:r>
    </w:p>
    <w:p w:rsidR="00000000" w:rsidDel="00000000" w:rsidP="00000000" w:rsidRDefault="00000000" w:rsidRPr="00000000" w14:paraId="00000015">
      <w:pPr>
        <w:pBdr>
          <w:top w:color="000000" w:space="1" w:sz="4" w:val="single"/>
        </w:pBdr>
        <w:spacing w:line="24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Nghiên cứu phân tích tác động của các cú sốc vĩ mô toàn cầu, bao gồm biến động giá dầu và bất định chính sách thương mại, cùng với độ nhạy quốc gia đến cán cân thương mại của các quốc gia châu Á. Dựa trên khung lý thuyết Vulnerability Scoping Diagram (VSD), nghiên cứu xây dựng chỉ số độ nhạy quốc gia (SEN) theo hướng đa chiều và ước lượng mô hình dữ liệu bảng động bằng phương pháp SGMM cho 45 quốc gia châu Á trong giai đoạn 1990-2024. Kết quả thực nghiệm cho thấy biến động giá dầu, bất định chính sách thương mại và độ nhạy quốc gia đều tác động tiêu cực đến cán cân thương mại, trong khi tăng trưởng kinh tế có vai trò cải thiện trạng thái thương mại; ngược lại, phá giá tiền tệ có tác động cải thiện cán cân thương mại trong bối cảnh hội nhập sâu vào chuỗi giá trị toàn cầu. Các phát hiện này nhấn mạnh vai trò của các đặc điểm cấu trúc nội tại trong việc định hình mức độ ổn định thương mại, qua đó cung cấp hàm ý chính sách quan trọng cho hoạch định thương mại và năng lượng bền vững tại khu vực châu Á.</w:t>
      </w:r>
    </w:p>
    <w:p w:rsidR="00000000" w:rsidDel="00000000" w:rsidP="00000000" w:rsidRDefault="00000000" w:rsidRPr="00000000" w14:paraId="00000017">
      <w:pPr>
        <w:spacing w:line="24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khóa</w:t>
      </w:r>
      <w:r w:rsidDel="00000000" w:rsidR="00000000" w:rsidRPr="00000000">
        <w:rPr>
          <w:rFonts w:ascii="Times New Roman" w:cs="Times New Roman" w:eastAsia="Times New Roman" w:hAnsi="Times New Roman"/>
          <w:sz w:val="24"/>
          <w:szCs w:val="24"/>
          <w:rtl w:val="0"/>
        </w:rPr>
        <w:t xml:space="preserve">: độ nhạy quốc gia, cán cân thương mại, biến động giá dầu, bất định chính sách thương mại, châu Á</w:t>
      </w: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line="240" w:lineRule="auto"/>
        <w:ind w:right="48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NATIONAL SENSITIVITY AND THE RESPONSIVENESS OF ASIAN TRADE BALANCES TO GLOBAL SHOCK FLUCTUATIONS</w:t>
      </w:r>
      <w:r w:rsidDel="00000000" w:rsidR="00000000" w:rsidRPr="00000000">
        <w:rPr>
          <w:rtl w:val="0"/>
        </w:rPr>
      </w:r>
    </w:p>
    <w:p w:rsidR="00000000" w:rsidDel="00000000" w:rsidP="00000000" w:rsidRDefault="00000000" w:rsidRPr="00000000" w14:paraId="0000001B">
      <w:pPr>
        <w:spacing w:line="24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impacts of global macroeconomic shocks, including oil price volatility and global trade policy uncertainty, as well as national sensitivity, on the trade balance of Asian countries. Drawing on the Vulnerability Scoping Diagram (VSD) framework, the study constructs a multidimensional National Sensitivity (SEN) index and estimates a dynamic panel model using the System Generalized Method of Moments (SGMM) for 45 Asian economies over the period 1990-2024. The empirical results indicate that oil price volatility, trade policy uncertainty, and national sensitivity exert negative effects on the trade balance, whereas economic growth contributes to an improvement in trade performance. In contrast, currency depreciation is found to enhance the trade balance in the context of deep integration into global value chains. These findings highlight the role of internal structural characteristics in shaping trade resilience and provide important policy implications for sustainable trade and energy policymaking in Asia.</w:t>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sensitivity, trade balance, oil price volatility, trade policy uncertainty, Asia</w:t>
      </w:r>
    </w:p>
    <w:p w:rsidR="00000000" w:rsidDel="00000000" w:rsidP="00000000" w:rsidRDefault="00000000" w:rsidRPr="00000000" w14:paraId="0000001E">
      <w:pPr>
        <w:pBdr>
          <w:bottom w:color="000000" w:space="1" w:sz="4" w:val="single"/>
        </w:pBdr>
        <w:spacing w:line="240" w:lineRule="auto"/>
        <w:ind w:right="48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F">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Giới thiệu</w:t>
      </w:r>
    </w:p>
    <w:p w:rsidR="00000000" w:rsidDel="00000000" w:rsidP="00000000" w:rsidRDefault="00000000" w:rsidRPr="00000000" w14:paraId="0000002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bối cảnh kinh tế thế giới đang trải qua những biến động sâu rộng, thương mại toàn cầu những năm gần đây ngày càng chịu ảnh hưởng mạnh mẽ từ các cú sốc vĩ mô, đặc biệt là biến động giá dầu và bất định chính sách thương mại. Năng lượng, đặc biệt là dầu mỏ, từ lâu đã được coi là nền tảng thiết yếu của nền kinh tế hiện đại, đóng vai trò trung tâm trong các hoạt động sản xuất, tiêu dùng và tăng trưởng kinh tế (</w:t>
      </w:r>
      <w:hyperlink r:id="rId8">
        <w:r w:rsidDel="00000000" w:rsidR="00000000" w:rsidRPr="00000000">
          <w:rPr>
            <w:rFonts w:ascii="Times New Roman" w:cs="Times New Roman" w:eastAsia="Times New Roman" w:hAnsi="Times New Roman"/>
            <w:sz w:val="24"/>
            <w:szCs w:val="24"/>
            <w:rtl w:val="0"/>
          </w:rPr>
          <w:t xml:space="preserve">World Bank, 2025</w:t>
        </w:r>
      </w:hyperlink>
      <w:r w:rsidDel="00000000" w:rsidR="00000000" w:rsidRPr="00000000">
        <w:rPr>
          <w:rFonts w:ascii="Times New Roman" w:cs="Times New Roman" w:eastAsia="Times New Roman" w:hAnsi="Times New Roman"/>
          <w:sz w:val="24"/>
          <w:szCs w:val="24"/>
          <w:rtl w:val="0"/>
        </w:rPr>
        <w:t xml:space="preserve">). Trong cơ cấu tiêu thụ năng lượng toàn cầu, dầu mỏ và các chế phẩm từ dầu vẫn giữ vị trí chủ đạo với tỷ trọng khoảng 30,2% (</w:t>
      </w:r>
      <w:hyperlink r:id="rId9">
        <w:r w:rsidDel="00000000" w:rsidR="00000000" w:rsidRPr="00000000">
          <w:rPr>
            <w:rFonts w:ascii="Times New Roman" w:cs="Times New Roman" w:eastAsia="Times New Roman" w:hAnsi="Times New Roman"/>
            <w:sz w:val="24"/>
            <w:szCs w:val="24"/>
            <w:rtl w:val="0"/>
          </w:rPr>
          <w:t xml:space="preserve">IEA, 2023</w:t>
        </w:r>
      </w:hyperlink>
      <w:r w:rsidDel="00000000" w:rsidR="00000000" w:rsidRPr="00000000">
        <w:rPr>
          <w:rFonts w:ascii="Times New Roman" w:cs="Times New Roman" w:eastAsia="Times New Roman" w:hAnsi="Times New Roman"/>
          <w:sz w:val="24"/>
          <w:szCs w:val="24"/>
          <w:rtl w:val="0"/>
        </w:rPr>
        <w:t xml:space="preserve">), phản ánh mức độ phụ thuộc đáng kể của nền kinh tế thế giới vào loại tài nguyên quan trọng này. Biến động giá dầu do đó thường kéo theo những hệ lụy sâu rộng đối với thương mại quốc tế. Thực tiễn lịch sử cho thấy các cú sốc giá dầu lớn thường đồng hành cùng các thời kỳ bất ổn kinh tế - tài chính nghiêm trọng, chẳng hạn như cuộc khủng hoảng tài chính châu Á (1997-2000), khủng hoảng toàn cầu năm 2008 (</w:t>
      </w:r>
      <w:hyperlink r:id="rId10">
        <w:r w:rsidDel="00000000" w:rsidR="00000000" w:rsidRPr="00000000">
          <w:rPr>
            <w:rFonts w:ascii="Times New Roman" w:cs="Times New Roman" w:eastAsia="Times New Roman" w:hAnsi="Times New Roman"/>
            <w:sz w:val="24"/>
            <w:szCs w:val="24"/>
            <w:rtl w:val="0"/>
          </w:rPr>
          <w:t xml:space="preserve">WTO, 2009</w:t>
        </w:r>
      </w:hyperlink>
      <w:r w:rsidDel="00000000" w:rsidR="00000000" w:rsidRPr="00000000">
        <w:rPr>
          <w:rFonts w:ascii="Times New Roman" w:cs="Times New Roman" w:eastAsia="Times New Roman" w:hAnsi="Times New Roman"/>
          <w:sz w:val="24"/>
          <w:szCs w:val="24"/>
          <w:rtl w:val="0"/>
        </w:rPr>
        <w:t xml:space="preserve">), hay gần đây là đại dịch COVID-19 và xung đột địa chính trị Nga - Ukraine năm 2022 đều là những yếu tố đã góp phần làm gia tăng đáng kể chi phí năng lượng và đẩy lạm phát toàn cầu lên mức cao (</w:t>
      </w:r>
      <w:hyperlink r:id="rId11">
        <w:r w:rsidDel="00000000" w:rsidR="00000000" w:rsidRPr="00000000">
          <w:rPr>
            <w:rFonts w:ascii="Times New Roman" w:cs="Times New Roman" w:eastAsia="Times New Roman" w:hAnsi="Times New Roman"/>
            <w:sz w:val="24"/>
            <w:szCs w:val="24"/>
            <w:rtl w:val="0"/>
          </w:rPr>
          <w:t xml:space="preserve">IMF, 2022</w:t>
        </w:r>
      </w:hyperlink>
      <w:r w:rsidDel="00000000" w:rsidR="00000000" w:rsidRPr="00000000">
        <w:rPr>
          <w:rFonts w:ascii="Times New Roman" w:cs="Times New Roman" w:eastAsia="Times New Roman" w:hAnsi="Times New Roman"/>
          <w:sz w:val="24"/>
          <w:szCs w:val="24"/>
          <w:rtl w:val="0"/>
        </w:rPr>
        <w:t xml:space="preserve">). Trên cơ sở lý thuyết và bằng chứng thực nghiệm, nhiều nghiên cứu đã chỉ ra rằng biến động giá dầu, dù tăng hay giảm, đều có thể tạo ra các tác động đáng kể lên cán cân thương mại (</w:t>
      </w:r>
      <w:hyperlink r:id="rId12">
        <w:r w:rsidDel="00000000" w:rsidR="00000000" w:rsidRPr="00000000">
          <w:rPr>
            <w:rFonts w:ascii="Times New Roman" w:cs="Times New Roman" w:eastAsia="Times New Roman" w:hAnsi="Times New Roman"/>
            <w:sz w:val="24"/>
            <w:szCs w:val="24"/>
            <w:rtl w:val="0"/>
          </w:rPr>
          <w:t xml:space="preserve">Baek và cộng sự, 2019</w:t>
        </w:r>
      </w:hyperlink>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sz w:val="24"/>
            <w:szCs w:val="24"/>
            <w:rtl w:val="0"/>
          </w:rPr>
          <w:t xml:space="preserve">Ahad &amp; Anwer, 2020</w:t>
        </w:r>
      </w:hyperlink>
      <w:r w:rsidDel="00000000" w:rsidR="00000000" w:rsidRPr="00000000">
        <w:rPr>
          <w:rFonts w:ascii="Times New Roman" w:cs="Times New Roman" w:eastAsia="Times New Roman" w:hAnsi="Times New Roman"/>
          <w:sz w:val="24"/>
          <w:szCs w:val="24"/>
          <w:rtl w:val="0"/>
        </w:rPr>
        <w:t xml:space="preserve">). Trong bối cảnh đó, khu vực châu Á nổi bật là một trong những khu vực dễ bị tổn thương nhất trước biến động giá dầu do đặc điểm vừa là trung tâm tiêu thụ năng lượng lớn, vừa là khu vực có các nhà cung ứng then chốt trên thị trường toàn cầu. Trong khi các quốc gia Trung Đông như Saudi Arabia, UAE, Kuwait và Iraq giữ vai trò xuất khẩu dầu chủ lực, thì các nền kinh tế đang phát triển nhanh như Trung Quốc và Ấn Độ lại là những nhà nhập khẩu lớn với nhu cầu tăng cao liên tục trong những thập niên gần đây (</w:t>
      </w:r>
      <w:hyperlink r:id="rId14">
        <w:r w:rsidDel="00000000" w:rsidR="00000000" w:rsidRPr="00000000">
          <w:rPr>
            <w:rFonts w:ascii="Times New Roman" w:cs="Times New Roman" w:eastAsia="Times New Roman" w:hAnsi="Times New Roman"/>
            <w:sz w:val="24"/>
            <w:szCs w:val="24"/>
            <w:rtl w:val="0"/>
          </w:rPr>
          <w:t xml:space="preserve">IEA, 2024</w:t>
        </w:r>
      </w:hyperlink>
      <w:r w:rsidDel="00000000" w:rsidR="00000000" w:rsidRPr="00000000">
        <w:rPr>
          <w:rFonts w:ascii="Times New Roman" w:cs="Times New Roman" w:eastAsia="Times New Roman" w:hAnsi="Times New Roman"/>
          <w:sz w:val="24"/>
          <w:szCs w:val="24"/>
          <w:rtl w:val="0"/>
        </w:rPr>
        <w:t xml:space="preserve">;</w:t>
      </w:r>
      <w:hyperlink r:id="rId15">
        <w:r w:rsidDel="00000000" w:rsidR="00000000" w:rsidRPr="00000000">
          <w:rPr>
            <w:rFonts w:ascii="Times New Roman" w:cs="Times New Roman" w:eastAsia="Times New Roman" w:hAnsi="Times New Roman"/>
            <w:sz w:val="24"/>
            <w:szCs w:val="24"/>
            <w:rtl w:val="0"/>
          </w:rPr>
          <w:t xml:space="preserve"> 2025</w:t>
        </w:r>
      </w:hyperlink>
      <w:r w:rsidDel="00000000" w:rsidR="00000000" w:rsidRPr="00000000">
        <w:rPr>
          <w:rFonts w:ascii="Times New Roman" w:cs="Times New Roman" w:eastAsia="Times New Roman" w:hAnsi="Times New Roman"/>
          <w:sz w:val="24"/>
          <w:szCs w:val="24"/>
          <w:rtl w:val="0"/>
        </w:rPr>
        <w:t xml:space="preserve">). Song song với các cú sốc năng lượng là sự gia tăng bất định chính sách thương mại toàn cầu, một yếu tố ngày càng trở nên quan trọng trong bối cảnh hậu đại dịch và bất ổn địa chính trị kéo dài. Các cú sốc chính sách như Brexit (2016) và chiến tranh thương mại Mỹ - Trung (2018) đã liên tục làm gia tăng TPU, tạo nên những làn sóng bất ổn toàn cầu ảnh hưởng đến dòng chảy thương mại (</w:t>
      </w:r>
      <w:hyperlink r:id="rId16">
        <w:r w:rsidDel="00000000" w:rsidR="00000000" w:rsidRPr="00000000">
          <w:rPr>
            <w:rFonts w:ascii="Times New Roman" w:cs="Times New Roman" w:eastAsia="Times New Roman" w:hAnsi="Times New Roman"/>
            <w:sz w:val="24"/>
            <w:szCs w:val="24"/>
            <w:rtl w:val="0"/>
          </w:rPr>
          <w:t xml:space="preserve">Handley &amp; Limão, 2022</w:t>
        </w:r>
      </w:hyperlink>
      <w:r w:rsidDel="00000000" w:rsidR="00000000" w:rsidRPr="00000000">
        <w:rPr>
          <w:rFonts w:ascii="Times New Roman" w:cs="Times New Roman" w:eastAsia="Times New Roman" w:hAnsi="Times New Roman"/>
          <w:sz w:val="24"/>
          <w:szCs w:val="24"/>
          <w:rtl w:val="0"/>
        </w:rPr>
        <w:t xml:space="preserve">). Trong bối cảnh toàn cầu hóa, TPU được nhìn nhận đóng vai trò như một rào cản vô hình làm gián đoạn dòng chảy thương mại, đặc biệt ở các ngành có chi phí chìm cao và phụ thuộc vào thị trường lớn (</w:t>
      </w:r>
      <w:hyperlink r:id="rId17">
        <w:r w:rsidDel="00000000" w:rsidR="00000000" w:rsidRPr="00000000">
          <w:rPr>
            <w:rFonts w:ascii="Times New Roman" w:cs="Times New Roman" w:eastAsia="Times New Roman" w:hAnsi="Times New Roman"/>
            <w:sz w:val="24"/>
            <w:szCs w:val="24"/>
            <w:rtl w:val="0"/>
          </w:rPr>
          <w:t xml:space="preserve">Handley, 2014</w:t>
        </w:r>
      </w:hyperlink>
      <w:r w:rsidDel="00000000" w:rsidR="00000000" w:rsidRPr="00000000">
        <w:rPr>
          <w:rFonts w:ascii="Times New Roman" w:cs="Times New Roman" w:eastAsia="Times New Roman" w:hAnsi="Times New Roman"/>
          <w:sz w:val="24"/>
          <w:szCs w:val="24"/>
          <w:rtl w:val="0"/>
        </w:rPr>
        <w:t xml:space="preserve">) Các chính sách thuế quan đối ứng do Mỹ triển khai từ năm 2025 đã làm gia tăng căng thẳng chuỗi cung ứng toàn cầu, vốn đã bị tổn thương nghiêm trọng bởi cuộc chiến Nga-Ukraine (</w:t>
      </w:r>
      <w:hyperlink r:id="rId18">
        <w:r w:rsidDel="00000000" w:rsidR="00000000" w:rsidRPr="00000000">
          <w:rPr>
            <w:rFonts w:ascii="Times New Roman" w:cs="Times New Roman" w:eastAsia="Times New Roman" w:hAnsi="Times New Roman"/>
            <w:sz w:val="24"/>
            <w:szCs w:val="24"/>
            <w:rtl w:val="0"/>
          </w:rPr>
          <w:t xml:space="preserve">IMF, 2025</w:t>
        </w:r>
      </w:hyperlink>
      <w:r w:rsidDel="00000000" w:rsidR="00000000" w:rsidRPr="00000000">
        <w:rPr>
          <w:rFonts w:ascii="Times New Roman" w:cs="Times New Roman" w:eastAsia="Times New Roman" w:hAnsi="Times New Roman"/>
          <w:sz w:val="24"/>
          <w:szCs w:val="24"/>
          <w:rtl w:val="0"/>
        </w:rPr>
        <w:t xml:space="preserve">). Theo </w:t>
      </w:r>
      <w:hyperlink r:id="rId19">
        <w:r w:rsidDel="00000000" w:rsidR="00000000" w:rsidRPr="00000000">
          <w:rPr>
            <w:rFonts w:ascii="Times New Roman" w:cs="Times New Roman" w:eastAsia="Times New Roman" w:hAnsi="Times New Roman"/>
            <w:sz w:val="24"/>
            <w:szCs w:val="24"/>
            <w:rtl w:val="0"/>
          </w:rPr>
          <w:t xml:space="preserve">Sanyal (2025)</w:t>
        </w:r>
      </w:hyperlink>
      <w:r w:rsidDel="00000000" w:rsidR="00000000" w:rsidRPr="00000000">
        <w:rPr>
          <w:rFonts w:ascii="Times New Roman" w:cs="Times New Roman" w:eastAsia="Times New Roman" w:hAnsi="Times New Roman"/>
          <w:sz w:val="24"/>
          <w:szCs w:val="24"/>
          <w:rtl w:val="0"/>
        </w:rPr>
        <w:t xml:space="preserve">, sự bất định trong chính sách thương mại làm tăng chi phí giao dịch và rủi ro đầu vào, khiến doanh nghiệp trì hoãn quyết định đầu tư và xuất khẩu, từ đó tác động tiêu cực đến khối lượng thương mại toàn cầu. Do đó, việc phân tích một cách hệ thống tác động của biến động giá dầu và biến động chính sách thương mại toàn cầu đối với cán cân thương mại tại châu Á không chỉ có ý nghĩa thực tiễn trong dự báo thương mại và chính sách năng lượng, mà còn đóng góp quan trọng vào việc thiết kế các công cụ ổn định vĩ mô, bảo vệ tăng trưởng trong bối cảnh toàn cầu ngày càng bất ổn.</w:t>
      </w:r>
    </w:p>
    <w:p w:rsidR="00000000" w:rsidDel="00000000" w:rsidP="00000000" w:rsidRDefault="00000000" w:rsidRPr="00000000" w14:paraId="0000002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 khung lý thuyết Vulnerability Scoping Diagram (Turner và cộng sự, 2003), mức độ tổn thương không chỉ phụ thuộc vào mức độ phơi nhiễm (exposure) mà còn vào độ nhạy cảm nội tại (sensitivity) của mỗi quốc gia. Trong nghiên cứu này, độ nhạy quốc gia (SEN) được tiếp cận như một chỉ số đa chiều, phản ánh mức độ dễ bị tổn thương của nền kinh tế dựa trên các yếu tố về cường độ sử dụng năng lượng, mức sống, bất bình đẳng thu nhập và đặc điểm nhân khẩu học. Shen và cộng sự (2024) cho thấy các quốc gia có SEN cao thường chịu tác động tiêu cực mạnh hơn từ biến động thị trường quốc tế, đặc biệt trong quá trình chuyển đổi năng lượng. Nghiên cứu này nhằm lấp đầy khoảng trống đó, đặc biệt trong bối cảnh châu Á, khu vực có sự phân hóa sâu sắc về cấu trúc kinh tế và mức độ tổn thương, qua đó cung cấp bằng chứng thực nghiệm cho việc lồng ghép yếu tố nhạy cảm nội tại vào hoạch định chính sách thương mại và năng lượng bền vững.</w:t>
      </w:r>
    </w:p>
    <w:p w:rsidR="00000000" w:rsidDel="00000000" w:rsidP="00000000" w:rsidRDefault="00000000" w:rsidRPr="00000000" w14:paraId="0000002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Tổng quan nghiên cứu</w:t>
      </w:r>
    </w:p>
    <w:p w:rsidR="00000000" w:rsidDel="00000000" w:rsidP="00000000" w:rsidRDefault="00000000" w:rsidRPr="00000000" w14:paraId="00000023">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Các nghiên cứu thực nghiệm</w:t>
      </w:r>
      <w:r w:rsidDel="00000000" w:rsidR="00000000" w:rsidRPr="00000000">
        <w:rPr>
          <w:rtl w:val="0"/>
        </w:rPr>
      </w:r>
    </w:p>
    <w:p w:rsidR="00000000" w:rsidDel="00000000" w:rsidP="00000000" w:rsidRDefault="00000000" w:rsidRPr="00000000" w14:paraId="0000002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Năng lượng được xem là một yếu tố đầu vào quan trọng để cung cấp các dịch vụ cơ bản thiết yếu cho nhu cầu của con người, đồng thời còn là đầu mối cho các nỗ lực tăng trưởng kinh tế đi đôi với phát triển bền vững (</w:t>
      </w:r>
      <w:hyperlink r:id="rId20">
        <w:r w:rsidDel="00000000" w:rsidR="00000000" w:rsidRPr="00000000">
          <w:rPr>
            <w:rFonts w:ascii="Times New Roman" w:cs="Times New Roman" w:eastAsia="Times New Roman" w:hAnsi="Times New Roman"/>
            <w:sz w:val="24"/>
            <w:szCs w:val="24"/>
            <w:rtl w:val="0"/>
          </w:rPr>
          <w:t xml:space="preserve">Martchamadol &amp; Kumar, 2012</w:t>
        </w:r>
      </w:hyperlink>
      <w:r w:rsidDel="00000000" w:rsidR="00000000" w:rsidRPr="00000000">
        <w:rPr>
          <w:rFonts w:ascii="Times New Roman" w:cs="Times New Roman" w:eastAsia="Times New Roman" w:hAnsi="Times New Roman"/>
          <w:sz w:val="24"/>
          <w:szCs w:val="24"/>
          <w:rtl w:val="0"/>
        </w:rPr>
        <w:t xml:space="preserve">). Trong đó, dầu thô đóng một vai trò đặc biệt. Bước sang thế kỷ XXI, hàng loạt những nghiên cứu (</w:t>
      </w:r>
      <w:hyperlink r:id="rId21">
        <w:r w:rsidDel="00000000" w:rsidR="00000000" w:rsidRPr="00000000">
          <w:rPr>
            <w:rFonts w:ascii="Times New Roman" w:cs="Times New Roman" w:eastAsia="Times New Roman" w:hAnsi="Times New Roman"/>
            <w:sz w:val="24"/>
            <w:szCs w:val="24"/>
            <w:rtl w:val="0"/>
          </w:rPr>
          <w:t xml:space="preserve">Backus &amp; Crucinic 2000</w:t>
        </w:r>
      </w:hyperlink>
      <w:r w:rsidDel="00000000" w:rsidR="00000000" w:rsidRPr="00000000">
        <w:rPr>
          <w:rFonts w:ascii="Times New Roman" w:cs="Times New Roman" w:eastAsia="Times New Roman" w:hAnsi="Times New Roman"/>
          <w:sz w:val="24"/>
          <w:szCs w:val="24"/>
          <w:rtl w:val="0"/>
        </w:rPr>
        <w:t xml:space="preserve">; </w:t>
      </w:r>
      <w:hyperlink r:id="rId22">
        <w:r w:rsidDel="00000000" w:rsidR="00000000" w:rsidRPr="00000000">
          <w:rPr>
            <w:rFonts w:ascii="Times New Roman" w:cs="Times New Roman" w:eastAsia="Times New Roman" w:hAnsi="Times New Roman"/>
            <w:sz w:val="24"/>
            <w:szCs w:val="24"/>
            <w:rtl w:val="0"/>
          </w:rPr>
          <w:t xml:space="preserve">Kilian và cộng sự, 2009</w:t>
        </w:r>
      </w:hyperlink>
      <w:r w:rsidDel="00000000" w:rsidR="00000000" w:rsidRPr="00000000">
        <w:rPr>
          <w:rFonts w:ascii="Times New Roman" w:cs="Times New Roman" w:eastAsia="Times New Roman" w:hAnsi="Times New Roman"/>
          <w:sz w:val="24"/>
          <w:szCs w:val="24"/>
          <w:rtl w:val="0"/>
        </w:rPr>
        <w:t xml:space="preserve">; </w:t>
      </w:r>
      <w:hyperlink r:id="rId23">
        <w:r w:rsidDel="00000000" w:rsidR="00000000" w:rsidRPr="00000000">
          <w:rPr>
            <w:rFonts w:ascii="Times New Roman" w:cs="Times New Roman" w:eastAsia="Times New Roman" w:hAnsi="Times New Roman"/>
            <w:sz w:val="24"/>
            <w:szCs w:val="24"/>
            <w:rtl w:val="0"/>
          </w:rPr>
          <w:t xml:space="preserve">Bodenstein và cộng sự, 2011</w:t>
        </w:r>
      </w:hyperlink>
      <w:r w:rsidDel="00000000" w:rsidR="00000000" w:rsidRPr="00000000">
        <w:rPr>
          <w:rFonts w:ascii="Times New Roman" w:cs="Times New Roman" w:eastAsia="Times New Roman" w:hAnsi="Times New Roman"/>
          <w:sz w:val="24"/>
          <w:szCs w:val="24"/>
          <w:rtl w:val="0"/>
        </w:rPr>
        <w:t xml:space="preserve">; </w:t>
      </w:r>
      <w:hyperlink r:id="rId24">
        <w:r w:rsidDel="00000000" w:rsidR="00000000" w:rsidRPr="00000000">
          <w:rPr>
            <w:rFonts w:ascii="Times New Roman" w:cs="Times New Roman" w:eastAsia="Times New Roman" w:hAnsi="Times New Roman"/>
            <w:sz w:val="24"/>
            <w:szCs w:val="24"/>
            <w:rtl w:val="0"/>
          </w:rPr>
          <w:t xml:space="preserve">Le &amp; Chang, 2013</w:t>
        </w:r>
      </w:hyperlink>
      <w:r w:rsidDel="00000000" w:rsidR="00000000" w:rsidRPr="00000000">
        <w:rPr>
          <w:rFonts w:ascii="Times New Roman" w:cs="Times New Roman" w:eastAsia="Times New Roman" w:hAnsi="Times New Roman"/>
          <w:sz w:val="24"/>
          <w:szCs w:val="24"/>
          <w:rtl w:val="0"/>
        </w:rPr>
        <w:t xml:space="preserve">; </w:t>
      </w:r>
      <w:hyperlink r:id="rId25">
        <w:r w:rsidDel="00000000" w:rsidR="00000000" w:rsidRPr="00000000">
          <w:rPr>
            <w:rFonts w:ascii="Times New Roman" w:cs="Times New Roman" w:eastAsia="Times New Roman" w:hAnsi="Times New Roman"/>
            <w:sz w:val="24"/>
            <w:szCs w:val="24"/>
            <w:rtl w:val="0"/>
          </w:rPr>
          <w:t xml:space="preserve">Rafiq và cộng sự, 2016</w:t>
        </w:r>
      </w:hyperlink>
      <w:r w:rsidDel="00000000" w:rsidR="00000000" w:rsidRPr="00000000">
        <w:rPr>
          <w:rFonts w:ascii="Times New Roman" w:cs="Times New Roman" w:eastAsia="Times New Roman" w:hAnsi="Times New Roman"/>
          <w:sz w:val="24"/>
          <w:szCs w:val="24"/>
          <w:rtl w:val="0"/>
        </w:rPr>
        <w:t xml:space="preserve">) được thực hiện nhằm nghiên cứu tác động của giá dầu đối với cán cân thương mại của một quốc gia, đặc biệt khi trong giai đoạn này, toàn cầu hóa đã bắt đầu xuất hiện và trở thành xu hướng với mục tiêu kết nối các nền kinh tế và thúc đẩy giao thương xuyên biên giới. </w:t>
      </w:r>
      <w:hyperlink r:id="rId26">
        <w:r w:rsidDel="00000000" w:rsidR="00000000" w:rsidRPr="00000000">
          <w:rPr>
            <w:rFonts w:ascii="Times New Roman" w:cs="Times New Roman" w:eastAsia="Times New Roman" w:hAnsi="Times New Roman"/>
            <w:sz w:val="24"/>
            <w:szCs w:val="24"/>
            <w:rtl w:val="0"/>
          </w:rPr>
          <w:t xml:space="preserve">Mili (2019)</w:t>
        </w:r>
      </w:hyperlink>
      <w:r w:rsidDel="00000000" w:rsidR="00000000" w:rsidRPr="00000000">
        <w:rPr>
          <w:rFonts w:ascii="Times New Roman" w:cs="Times New Roman" w:eastAsia="Times New Roman" w:hAnsi="Times New Roman"/>
          <w:sz w:val="24"/>
          <w:szCs w:val="24"/>
          <w:rtl w:val="0"/>
        </w:rPr>
        <w:t xml:space="preserve"> đã thực hiện phân tích mối quan hệ giữa dầu thô và cán cân thương mại tại các quốc gia Nam Phi và kết luận rằng sự biến động trong giá dầu trên thị trường nhiên liệu có tác động trực tiếp mạnh mẽ và trầm trọng đến cán cân thương mại. Ngoài ra, </w:t>
      </w:r>
      <w:hyperlink r:id="rId27">
        <w:r w:rsidDel="00000000" w:rsidR="00000000" w:rsidRPr="00000000">
          <w:rPr>
            <w:rFonts w:ascii="Times New Roman" w:cs="Times New Roman" w:eastAsia="Times New Roman" w:hAnsi="Times New Roman"/>
            <w:sz w:val="24"/>
            <w:szCs w:val="24"/>
            <w:rtl w:val="0"/>
          </w:rPr>
          <w:t xml:space="preserve">Abu Eleyan và cộng sự (2022)</w:t>
        </w:r>
      </w:hyperlink>
      <w:r w:rsidDel="00000000" w:rsidR="00000000" w:rsidRPr="00000000">
        <w:rPr>
          <w:rFonts w:ascii="Times New Roman" w:cs="Times New Roman" w:eastAsia="Times New Roman" w:hAnsi="Times New Roman"/>
          <w:sz w:val="24"/>
          <w:szCs w:val="24"/>
          <w:rtl w:val="0"/>
        </w:rPr>
        <w:t xml:space="preserve"> chỉ ra rằng tác động của giá dầu lên cán cân thương mại của các nước ASEAN-5  không cố định mà thay đổi theo từng giai đoạn lịch sử và các sự kiện kinh tế. Các cú sốc về sản lượng dầu toàn cầu, đặc biệt là từ các nguồn ngoài Saudi Arabia, có tác động tiêu cực và đáng kể đến cán cân thương mại của nhóm nước này. Tác động của giá dầu thường đi kèm theo những ảnh hưởng đến từ tỷ giá hối đoái thực, GDP, lạm phát và bất ổn chính sách thương mại (</w:t>
      </w:r>
      <w:hyperlink r:id="rId28">
        <w:r w:rsidDel="00000000" w:rsidR="00000000" w:rsidRPr="00000000">
          <w:rPr>
            <w:rFonts w:ascii="Times New Roman" w:cs="Times New Roman" w:eastAsia="Times New Roman" w:hAnsi="Times New Roman"/>
            <w:sz w:val="24"/>
            <w:szCs w:val="24"/>
            <w:rtl w:val="0"/>
          </w:rPr>
          <w:t xml:space="preserve">Khan và cộng sự, 2019</w:t>
        </w:r>
      </w:hyperlink>
      <w:r w:rsidDel="00000000" w:rsidR="00000000" w:rsidRPr="00000000">
        <w:rPr>
          <w:rFonts w:ascii="Times New Roman" w:cs="Times New Roman" w:eastAsia="Times New Roman" w:hAnsi="Times New Roman"/>
          <w:sz w:val="24"/>
          <w:szCs w:val="24"/>
          <w:rtl w:val="0"/>
        </w:rPr>
        <w:t xml:space="preserve">; </w:t>
      </w:r>
      <w:hyperlink r:id="rId29">
        <w:r w:rsidDel="00000000" w:rsidR="00000000" w:rsidRPr="00000000">
          <w:rPr>
            <w:rFonts w:ascii="Times New Roman" w:cs="Times New Roman" w:eastAsia="Times New Roman" w:hAnsi="Times New Roman"/>
            <w:sz w:val="24"/>
            <w:szCs w:val="24"/>
            <w:rtl w:val="0"/>
          </w:rPr>
          <w:t xml:space="preserve">Rong và cộng sự, 2022</w:t>
        </w:r>
      </w:hyperlink>
      <w:r w:rsidDel="00000000" w:rsidR="00000000" w:rsidRPr="00000000">
        <w:rPr>
          <w:rFonts w:ascii="Times New Roman" w:cs="Times New Roman" w:eastAsia="Times New Roman" w:hAnsi="Times New Roman"/>
          <w:sz w:val="24"/>
          <w:szCs w:val="24"/>
          <w:rtl w:val="0"/>
        </w:rPr>
        <w:t xml:space="preserve">; </w:t>
      </w:r>
      <w:hyperlink r:id="rId30">
        <w:r w:rsidDel="00000000" w:rsidR="00000000" w:rsidRPr="00000000">
          <w:rPr>
            <w:rFonts w:ascii="Times New Roman" w:cs="Times New Roman" w:eastAsia="Times New Roman" w:hAnsi="Times New Roman"/>
            <w:sz w:val="24"/>
            <w:szCs w:val="24"/>
            <w:rtl w:val="0"/>
          </w:rPr>
          <w:t xml:space="preserve">Kaushik và Shastri, 2024</w:t>
        </w:r>
      </w:hyperlink>
      <w:r w:rsidDel="00000000" w:rsidR="00000000" w:rsidRPr="00000000">
        <w:rPr>
          <w:rFonts w:ascii="Times New Roman" w:cs="Times New Roman" w:eastAsia="Times New Roman" w:hAnsi="Times New Roman"/>
          <w:sz w:val="24"/>
          <w:szCs w:val="24"/>
          <w:rtl w:val="0"/>
        </w:rPr>
        <w:t xml:space="preserve">, </w:t>
      </w:r>
      <w:hyperlink r:id="rId31">
        <w:r w:rsidDel="00000000" w:rsidR="00000000" w:rsidRPr="00000000">
          <w:rPr>
            <w:rFonts w:ascii="Times New Roman" w:cs="Times New Roman" w:eastAsia="Times New Roman" w:hAnsi="Times New Roman"/>
            <w:sz w:val="24"/>
            <w:szCs w:val="24"/>
            <w:rtl w:val="0"/>
          </w:rPr>
          <w:t xml:space="preserve">Alsamara và cộng sự, 2024</w:t>
        </w:r>
      </w:hyperlink>
      <w:r w:rsidDel="00000000" w:rsidR="00000000" w:rsidRPr="00000000">
        <w:rPr>
          <w:rFonts w:ascii="Times New Roman" w:cs="Times New Roman" w:eastAsia="Times New Roman" w:hAnsi="Times New Roman"/>
          <w:sz w:val="24"/>
          <w:szCs w:val="24"/>
          <w:rtl w:val="0"/>
        </w:rPr>
        <w:t xml:space="preserve">; </w:t>
      </w:r>
      <w:hyperlink r:id="rId32">
        <w:r w:rsidDel="00000000" w:rsidR="00000000" w:rsidRPr="00000000">
          <w:rPr>
            <w:rFonts w:ascii="Times New Roman" w:cs="Times New Roman" w:eastAsia="Times New Roman" w:hAnsi="Times New Roman"/>
            <w:sz w:val="24"/>
            <w:szCs w:val="24"/>
            <w:rtl w:val="0"/>
          </w:rPr>
          <w:t xml:space="preserve">Ufi và cộng sự, 2025</w:t>
        </w:r>
      </w:hyperlink>
      <w:r w:rsidDel="00000000" w:rsidR="00000000" w:rsidRPr="00000000">
        <w:rPr>
          <w:rFonts w:ascii="Times New Roman" w:cs="Times New Roman" w:eastAsia="Times New Roman" w:hAnsi="Times New Roman"/>
          <w:sz w:val="24"/>
          <w:szCs w:val="24"/>
          <w:rtl w:val="0"/>
        </w:rPr>
        <w:t xml:space="preserve">). Trong khi đó, sự bất ổn chính sách thương mại đóng vai trò như một chất xúc tác, làm gia tăng sự biến động của dòng chảy thương mại quốc gia, mang tác động phức tạp đối với thương mại tại nhiều bối cảnh khác nhau. Đối với thương mại song phương Nhật Bản - Mỹ, </w:t>
      </w:r>
      <w:hyperlink r:id="rId33">
        <w:r w:rsidDel="00000000" w:rsidR="00000000" w:rsidRPr="00000000">
          <w:rPr>
            <w:rFonts w:ascii="Times New Roman" w:cs="Times New Roman" w:eastAsia="Times New Roman" w:hAnsi="Times New Roman"/>
            <w:sz w:val="24"/>
            <w:szCs w:val="24"/>
            <w:rtl w:val="0"/>
          </w:rPr>
          <w:t xml:space="preserve">Ongan &amp; Gocer (2021)</w:t>
        </w:r>
      </w:hyperlink>
      <w:r w:rsidDel="00000000" w:rsidR="00000000" w:rsidRPr="00000000">
        <w:rPr>
          <w:rFonts w:ascii="Times New Roman" w:cs="Times New Roman" w:eastAsia="Times New Roman" w:hAnsi="Times New Roman"/>
          <w:sz w:val="24"/>
          <w:szCs w:val="24"/>
          <w:rtl w:val="0"/>
        </w:rPr>
        <w:t xml:space="preserve"> chỉ ra rằng sự gia tăng chỉ số bất ổn chính sách thương mại của Nhật Bản cải thiện cán cân thương mại song phương của Hoa Kỳ, tuy nhiên sự sụt giảm lại làm tồi tệ hơn. Tương tự, tại Trung Quốc, </w:t>
      </w:r>
      <w:hyperlink r:id="rId34">
        <w:r w:rsidDel="00000000" w:rsidR="00000000" w:rsidRPr="00000000">
          <w:rPr>
            <w:rFonts w:ascii="Times New Roman" w:cs="Times New Roman" w:eastAsia="Times New Roman" w:hAnsi="Times New Roman"/>
            <w:sz w:val="24"/>
            <w:szCs w:val="24"/>
            <w:rtl w:val="0"/>
          </w:rPr>
          <w:t xml:space="preserve">Abaidoo (2019)</w:t>
        </w:r>
      </w:hyperlink>
      <w:r w:rsidDel="00000000" w:rsidR="00000000" w:rsidRPr="00000000">
        <w:rPr>
          <w:rFonts w:ascii="Times New Roman" w:cs="Times New Roman" w:eastAsia="Times New Roman" w:hAnsi="Times New Roman"/>
          <w:sz w:val="24"/>
          <w:szCs w:val="24"/>
          <w:rtl w:val="0"/>
        </w:rPr>
        <w:t xml:space="preserve"> khẳng định rằng sự gia tăng bất định trong chính sách kinh tế có tác động tiêu cực đến dòng chảy thương mại quốc tế. Khi môi trường chính sách trở nên khó đoán định, khối lượng thương mại toàn cầu đều có xu hướng sụt giảm. </w:t>
      </w:r>
    </w:p>
    <w:p w:rsidR="00000000" w:rsidDel="00000000" w:rsidP="00000000" w:rsidRDefault="00000000" w:rsidRPr="00000000" w14:paraId="00000025">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Ngoài ra, để giải thích sự phân hóa trong kết quả thương mại, cần xem xét vai trò của độ nhạy quốc gia như một yếu tố quyết định cường độ ảnh hưởng đến hoạt động xuất nhập khẩu. Trong bối cảnh kinh tế toàn cầu đầy biến động, mức độ ảnh hưởng của các cú sốc ngoại sinh lên một quốc gia không chỉ phụ thuộc vào cường độ của chính cú sốc đó mà còn bị chi phối mạnh mẽ bởi những đặc điểm nội tại của nền kinh tế. Nghiên cứu này sử dụng độ nhạy quốc gia (SEN) làm nhân tố trung tâm để giải thích sự phân hóa trong phản ứng của cán cân thương mại giữa các quốc gia Châu Á. Độ nhạy quốc gia được xây dựng dựa trên khung lý thuyết về tính dễ bị tổn thương (Vulnerability Scoping Diagram - VSD) do </w:t>
      </w:r>
      <w:hyperlink r:id="rId35">
        <w:r w:rsidDel="00000000" w:rsidR="00000000" w:rsidRPr="00000000">
          <w:rPr>
            <w:rFonts w:ascii="Times New Roman" w:cs="Times New Roman" w:eastAsia="Times New Roman" w:hAnsi="Times New Roman"/>
            <w:sz w:val="24"/>
            <w:szCs w:val="24"/>
            <w:rtl w:val="0"/>
          </w:rPr>
          <w:t xml:space="preserve">Turner và cộng sự (2003)</w:t>
        </w:r>
      </w:hyperlink>
      <w:r w:rsidDel="00000000" w:rsidR="00000000" w:rsidRPr="00000000">
        <w:rPr>
          <w:rFonts w:ascii="Times New Roman" w:cs="Times New Roman" w:eastAsia="Times New Roman" w:hAnsi="Times New Roman"/>
          <w:sz w:val="24"/>
          <w:szCs w:val="24"/>
          <w:rtl w:val="0"/>
        </w:rPr>
        <w:t xml:space="preserve"> đề xuất và được đo lường bởi bốn nhóm thành phần chính: (1) Mức độ sử dụng năng lượng; (2) Mức sống và phúc lợi kinh tế; (3) Bất bình đẳng thu nhập ; (4) Nhân khẩu học dễ bị tổn thương. Việc xây dựng chỉ số SEN tổng hợp thông qua phương pháp phân tích thành phần chính PCA trong nghiên cứu này chính là nỗ lực nhằm cung cấp một lăng kính toàn diện cho các nhà hoạch định chính sách trong việc củng cố an ninh năng lượng quốc gia.</w:t>
      </w:r>
    </w:p>
    <w:p w:rsidR="00000000" w:rsidDel="00000000" w:rsidP="00000000" w:rsidRDefault="00000000" w:rsidRPr="00000000" w14:paraId="00000026">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2.2. Lý thuyết nền tảng</w:t>
      </w:r>
    </w:p>
    <w:p w:rsidR="00000000" w:rsidDel="00000000" w:rsidP="00000000" w:rsidRDefault="00000000" w:rsidRPr="00000000" w14:paraId="00000027">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2.2.1. Khung lý thuyết về tính dễ bị tổn thương (Vulnerability Framework) và sơ đồ phạm vi tổn thương (Vulnerability Scoping Diagram - VSD)</w:t>
      </w:r>
    </w:p>
    <w:p w:rsidR="00000000" w:rsidDel="00000000" w:rsidP="00000000" w:rsidRDefault="00000000" w:rsidRPr="00000000" w14:paraId="0000002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Khung lý thuyết về tính dễ bị tổn thương (Vulnerability Framework) là một hệ thống lý thuyết được phát triển rộng rãi trong các nghiên cứu về môi trường và kinh tế học thích ứng, trung tâm là Sơ đồ phạm vi tổn thương (Vulnerability Scoping Diagram - VSD) do </w:t>
      </w:r>
      <w:hyperlink r:id="rId36">
        <w:r w:rsidDel="00000000" w:rsidR="00000000" w:rsidRPr="00000000">
          <w:rPr>
            <w:rFonts w:ascii="Times New Roman" w:cs="Times New Roman" w:eastAsia="Times New Roman" w:hAnsi="Times New Roman"/>
            <w:sz w:val="24"/>
            <w:szCs w:val="24"/>
            <w:rtl w:val="0"/>
          </w:rPr>
          <w:t xml:space="preserve">Turner và cộng sự </w:t>
        </w:r>
      </w:hyperlink>
      <w:r w:rsidDel="00000000" w:rsidR="00000000" w:rsidRPr="00000000">
        <w:rPr>
          <w:rFonts w:ascii="Times New Roman" w:cs="Times New Roman" w:eastAsia="Times New Roman" w:hAnsi="Times New Roman"/>
          <w:sz w:val="24"/>
          <w:szCs w:val="24"/>
          <w:rtl w:val="0"/>
        </w:rPr>
        <w:t xml:space="preserve">(2003) đề xuất, trong đó Vulnerability được hình thành từ sự tương tác giữa mức độ phơi nhiễm (E - exposure), tính nhạy cảm (S - sensitivity) và năng lực thích ứng của hệ thống (A - apdaptive). Mối quan hệ này được khái quát hóa qua công thức: V = E + S - A. Việc lồng ghép chỉ số độ nhạy quốc gia (SEN) vào khung Vulnerability Scoping Diagram (VSD) giúp mở rộng cách tiếp cận trong phân tích tác động của các cú sốc vĩ mô, bằng cách nhấn mạnh vai trò của các đặc điểm nội tại trong việc định hình trạng thái cán cân thương mại. Thay vì giả định phản ứng đồng nhất giữa các quốc gia, cách tiếp cận này xem SEN như một đặc trưng cấu trúc phản ánh mức độ dễ bị tổn thương của nền kinh tế, qua đó tác động trực tiếp đến sự ổn định và diễn biến của cán cân thương mại trước biến động giá dầu và bất định chính sách thương mại toàn cầu, đặc biệt trong bối cảnh các nền kinh tế châu Á có mức độ phân hóa cao về cấu trúc kinh tế - xã hội.</w:t>
      </w:r>
    </w:p>
    <w:p w:rsidR="00000000" w:rsidDel="00000000" w:rsidP="00000000" w:rsidRDefault="00000000" w:rsidRPr="00000000" w14:paraId="00000029">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2.2.2. Điều kiện Marshall-Lerner  </w:t>
      </w:r>
    </w:p>
    <w:p w:rsidR="00000000" w:rsidDel="00000000" w:rsidP="00000000" w:rsidRDefault="00000000" w:rsidRPr="00000000" w14:paraId="0000002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 điều kiện Marshall-Lerner (Marshall, 1923; Lerner, 1944), việc phá giá nội tệ chỉ có thể cải thiện được cán cân thương mại khi độ co giãn của cầu đối với hàng hóa xuất nhập khẩu là đủ lớn. Cụ thể, với giả định cán cân thương mại ban đầu ở trạng thái cân bằng, tổng trị tuyệt đối của độ co giãn cầu xuất khẩu và cầu nhập khẩu phải lớn hơn 1 (Wang, 2009). Trong trường hợp điều kiện này được thỏa mãn (|Ex| + |Em| &gt; 1), việc giảm giá đồng tiền sẽ giúp tăng xuất khẩu ròng. Ngược lại, nếu tổng độ co giãn này nhỏ hơn 1, việc phá giá sẽ làm cán cân thương mại xấu đi, và nếu bằng 1, cán cân thương mại sẽ không thay đổi (Brown và Hogendorn, 2000). Lý thuyết này giải thích cho sự tham gia của yếu tố tỷ giá hối đoái thực vào dòng thương mại. Trong điều kiện của Marshall Lerner, phá giá tỷ giá hối đoái thực chứng minh tác động tích cực của nó, nhưng ngược lại, nếu không thỏa mãn điều kiện trên, tỷ giá hối đoái thực sẽ trở thành rào cản đối với sự cân bằng thương mại hiện tại. </w:t>
      </w:r>
    </w:p>
    <w:p w:rsidR="00000000" w:rsidDel="00000000" w:rsidP="00000000" w:rsidRDefault="00000000" w:rsidRPr="00000000" w14:paraId="0000002B">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2.3. Giả thuyết nghiên cứu</w:t>
      </w:r>
    </w:p>
    <w:p w:rsidR="00000000" w:rsidDel="00000000" w:rsidP="00000000" w:rsidRDefault="00000000" w:rsidRPr="00000000" w14:paraId="0000002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dầu là một chỉ báo sớm phản ứng rất nhạy với các biến động vĩ mô (</w:t>
      </w:r>
      <w:hyperlink r:id="rId37">
        <w:r w:rsidDel="00000000" w:rsidR="00000000" w:rsidRPr="00000000">
          <w:rPr>
            <w:rFonts w:ascii="Times New Roman" w:cs="Times New Roman" w:eastAsia="Times New Roman" w:hAnsi="Times New Roman"/>
            <w:sz w:val="24"/>
            <w:szCs w:val="24"/>
            <w:rtl w:val="0"/>
          </w:rPr>
          <w:t xml:space="preserve">Ahmed và cộng sự, 2023</w:t>
        </w:r>
      </w:hyperlink>
      <w:r w:rsidDel="00000000" w:rsidR="00000000" w:rsidRPr="00000000">
        <w:rPr>
          <w:rFonts w:ascii="Times New Roman" w:cs="Times New Roman" w:eastAsia="Times New Roman" w:hAnsi="Times New Roman"/>
          <w:sz w:val="24"/>
          <w:szCs w:val="24"/>
          <w:rtl w:val="0"/>
        </w:rPr>
        <w:t xml:space="preserve">). Xét trên khung lý thuyết VSD, biến động giá dầu được xác định là một yếu tố phơi nhiễm ngoại sinh chủ chốt. Tại một số quốc gia nhập khẩu dầu, giá dầu có mối quan hệ tiêu cực với cán cân tài khoản vãng lai, trong đó, các cú sốc tăng giá dầu gây ra tác động tiêu cực mạnh mẽ đáng kể hơn so với tác động tích cực khi giá dầu giảm </w:t>
      </w:r>
      <w:hyperlink r:id="rId38">
        <w:r w:rsidDel="00000000" w:rsidR="00000000" w:rsidRPr="00000000">
          <w:rPr>
            <w:rFonts w:ascii="Times New Roman" w:cs="Times New Roman" w:eastAsia="Times New Roman" w:hAnsi="Times New Roman"/>
            <w:sz w:val="24"/>
            <w:szCs w:val="24"/>
            <w:rtl w:val="0"/>
          </w:rPr>
          <w:t xml:space="preserve">(Chang và cộng sự, 2023; </w:t>
        </w:r>
      </w:hyperlink>
      <w:hyperlink r:id="rId39">
        <w:r w:rsidDel="00000000" w:rsidR="00000000" w:rsidRPr="00000000">
          <w:rPr>
            <w:rFonts w:ascii="Times New Roman" w:cs="Times New Roman" w:eastAsia="Times New Roman" w:hAnsi="Times New Roman"/>
            <w:sz w:val="24"/>
            <w:szCs w:val="24"/>
            <w:rtl w:val="0"/>
          </w:rPr>
          <w:t xml:space="preserve">Ogbonna và Ichoku, 2022</w:t>
        </w:r>
      </w:hyperlink>
      <w:hyperlink r:id="rId40">
        <w:r w:rsidDel="00000000" w:rsidR="00000000" w:rsidRPr="00000000">
          <w:rPr>
            <w:rFonts w:ascii="Times New Roman" w:cs="Times New Roman" w:eastAsia="Times New Roman" w:hAnsi="Times New Roman"/>
            <w:sz w:val="24"/>
            <w:szCs w:val="24"/>
            <w:rtl w:val="0"/>
          </w:rPr>
          <w:t xml:space="preserve">)</w:t>
        </w:r>
      </w:hyperlink>
      <w:r w:rsidDel="00000000" w:rsidR="00000000" w:rsidRPr="00000000">
        <w:rPr>
          <w:rFonts w:ascii="Times New Roman" w:cs="Times New Roman" w:eastAsia="Times New Roman" w:hAnsi="Times New Roman"/>
          <w:sz w:val="24"/>
          <w:szCs w:val="24"/>
          <w:rtl w:val="0"/>
        </w:rPr>
        <w:t xml:space="preserve">. Bên cạnh đó, </w:t>
      </w:r>
      <w:hyperlink r:id="rId41">
        <w:r w:rsidDel="00000000" w:rsidR="00000000" w:rsidRPr="00000000">
          <w:rPr>
            <w:rFonts w:ascii="Times New Roman" w:cs="Times New Roman" w:eastAsia="Times New Roman" w:hAnsi="Times New Roman"/>
            <w:sz w:val="24"/>
            <w:szCs w:val="24"/>
            <w:rtl w:val="0"/>
          </w:rPr>
          <w:t xml:space="preserve">Baek (2024)</w:t>
        </w:r>
      </w:hyperlink>
      <w:r w:rsidDel="00000000" w:rsidR="00000000" w:rsidRPr="00000000">
        <w:rPr>
          <w:rFonts w:ascii="Times New Roman" w:cs="Times New Roman" w:eastAsia="Times New Roman" w:hAnsi="Times New Roman"/>
          <w:sz w:val="24"/>
          <w:szCs w:val="24"/>
          <w:rtl w:val="0"/>
        </w:rPr>
        <w:t xml:space="preserve"> lập luận rằng cán cân thương mại phản ứng rất khác nhau tùy thuộc vào việc giá dầu thay đổi do nguồn cung hay do nhu cầu. Do đó, qua nghiên cứu thực nghiệm, ông chỉ ra rằng tác động tiêu cực của gián đoạn nguồn cung mạnh gấp khoảng 1.5 đến 2 lần so với tác động tích cực của việc nới lỏng nguồn cung. Qua phân tích, nhóm đề xuất giả thuyết như sau: </w:t>
      </w:r>
    </w:p>
    <w:p w:rsidR="00000000" w:rsidDel="00000000" w:rsidP="00000000" w:rsidRDefault="00000000" w:rsidRPr="00000000" w14:paraId="0000002D">
      <w:pPr>
        <w:spacing w:line="24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H1: </w:t>
      </w:r>
      <w:r w:rsidDel="00000000" w:rsidR="00000000" w:rsidRPr="00000000">
        <w:rPr>
          <w:rFonts w:ascii="Times New Roman" w:cs="Times New Roman" w:eastAsia="Times New Roman" w:hAnsi="Times New Roman"/>
          <w:i w:val="1"/>
          <w:iCs w:val="1"/>
          <w:sz w:val="24"/>
          <w:szCs w:val="24"/>
          <w:rtl w:val="0"/>
        </w:rPr>
        <w:t xml:space="preserve">Giá dầu có tác động </w:t>
      </w:r>
      <w:r w:rsidDel="00000000" w:rsidR="00000000" w:rsidRPr="00000000">
        <w:rPr>
          <w:rFonts w:ascii="Times New Roman" w:cs="Times New Roman" w:eastAsia="Times New Roman" w:hAnsi="Times New Roman"/>
          <w:b w:val="1"/>
          <w:bCs w:val="1"/>
          <w:i w:val="1"/>
          <w:iCs w:val="1"/>
          <w:sz w:val="24"/>
          <w:szCs w:val="24"/>
          <w:rtl w:val="0"/>
        </w:rPr>
        <w:t xml:space="preserve">tiêu cực</w:t>
      </w:r>
      <w:r w:rsidDel="00000000" w:rsidR="00000000" w:rsidRPr="00000000">
        <w:rPr>
          <w:rFonts w:ascii="Times New Roman" w:cs="Times New Roman" w:eastAsia="Times New Roman" w:hAnsi="Times New Roman"/>
          <w:i w:val="1"/>
          <w:iCs w:val="1"/>
          <w:sz w:val="24"/>
          <w:szCs w:val="24"/>
          <w:rtl w:val="0"/>
        </w:rPr>
        <w:t xml:space="preserve"> đến cán cân thương mại tại các quốc gia châu Á.</w:t>
      </w:r>
    </w:p>
    <w:p w:rsidR="00000000" w:rsidDel="00000000" w:rsidP="00000000" w:rsidRDefault="00000000" w:rsidRPr="00000000" w14:paraId="0000002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sản phẩm quốc nội (GDP) là một chỉ số quan trọng khi đo lường sự tăng trưởng của một nền kinh tế. </w:t>
      </w:r>
      <w:hyperlink r:id="rId42">
        <w:r w:rsidDel="00000000" w:rsidR="00000000" w:rsidRPr="00000000">
          <w:rPr>
            <w:rFonts w:ascii="Times New Roman" w:cs="Times New Roman" w:eastAsia="Times New Roman" w:hAnsi="Times New Roman"/>
            <w:sz w:val="24"/>
            <w:szCs w:val="24"/>
            <w:rtl w:val="0"/>
          </w:rPr>
          <w:t xml:space="preserve">Jayathilaka và cộng sự (2022)</w:t>
        </w:r>
      </w:hyperlink>
      <w:r w:rsidDel="00000000" w:rsidR="00000000" w:rsidRPr="00000000">
        <w:rPr>
          <w:rFonts w:ascii="Times New Roman" w:cs="Times New Roman" w:eastAsia="Times New Roman" w:hAnsi="Times New Roman"/>
          <w:sz w:val="24"/>
          <w:szCs w:val="24"/>
          <w:rtl w:val="0"/>
        </w:rPr>
        <w:t xml:space="preserve"> chỉ ra rằng yếu tố tổng sản phẩm quốc nội có mối tương quan khá phức tạp đối với cán cân thương mại. Khi nền kinh tế tăng trưởng, thu nhập của người dân và doanh nghiệp gia tăng, kéo theo nhu cầu nhập khẩu hàng hóa và nguyên liệu đầu vào mở rộng, từ đó làm gia tăng thâm hụt thương mại (</w:t>
      </w:r>
      <w:hyperlink r:id="rId43">
        <w:r w:rsidDel="00000000" w:rsidR="00000000" w:rsidRPr="00000000">
          <w:rPr>
            <w:rFonts w:ascii="Times New Roman" w:cs="Times New Roman" w:eastAsia="Times New Roman" w:hAnsi="Times New Roman"/>
            <w:sz w:val="24"/>
            <w:szCs w:val="24"/>
            <w:rtl w:val="0"/>
          </w:rPr>
          <w:t xml:space="preserve">Pan và cộng sự (2022)</w:t>
        </w:r>
      </w:hyperlink>
      <w:r w:rsidDel="00000000" w:rsidR="00000000" w:rsidRPr="00000000">
        <w:rPr>
          <w:rFonts w:ascii="Times New Roman" w:cs="Times New Roman" w:eastAsia="Times New Roman" w:hAnsi="Times New Roman"/>
          <w:sz w:val="24"/>
          <w:szCs w:val="24"/>
          <w:rtl w:val="0"/>
        </w:rPr>
        <w:t xml:space="preserve">; </w:t>
      </w:r>
      <w:hyperlink r:id="rId44">
        <w:r w:rsidDel="00000000" w:rsidR="00000000" w:rsidRPr="00000000">
          <w:rPr>
            <w:rFonts w:ascii="Times New Roman" w:cs="Times New Roman" w:eastAsia="Times New Roman" w:hAnsi="Times New Roman"/>
            <w:sz w:val="24"/>
            <w:szCs w:val="24"/>
            <w:rtl w:val="0"/>
          </w:rPr>
          <w:t xml:space="preserve">Yusuf và cộng sự (2024)</w:t>
        </w:r>
      </w:hyperlink>
      <w:r w:rsidDel="00000000" w:rsidR="00000000" w:rsidRPr="00000000">
        <w:rPr>
          <w:rFonts w:ascii="Times New Roman" w:cs="Times New Roman" w:eastAsia="Times New Roman" w:hAnsi="Times New Roman"/>
          <w:sz w:val="24"/>
          <w:szCs w:val="24"/>
          <w:rtl w:val="0"/>
        </w:rPr>
        <w:t xml:space="preserve">. Tuy nhiên, ở chiều ngược lại, nhiều bằng chứng thực nghiệm cho thấy GDP có thể tác động tích cực đến cán cân thương mại. </w:t>
      </w:r>
      <w:hyperlink r:id="rId45">
        <w:r w:rsidDel="00000000" w:rsidR="00000000" w:rsidRPr="00000000">
          <w:rPr>
            <w:rFonts w:ascii="Times New Roman" w:cs="Times New Roman" w:eastAsia="Times New Roman" w:hAnsi="Times New Roman"/>
            <w:sz w:val="24"/>
            <w:szCs w:val="24"/>
            <w:rtl w:val="0"/>
          </w:rPr>
          <w:t xml:space="preserve">Lumayung và cộng sự (2023)</w:t>
        </w:r>
      </w:hyperlink>
      <w:r w:rsidDel="00000000" w:rsidR="00000000" w:rsidRPr="00000000">
        <w:rPr>
          <w:rFonts w:ascii="Times New Roman" w:cs="Times New Roman" w:eastAsia="Times New Roman" w:hAnsi="Times New Roman"/>
          <w:sz w:val="24"/>
          <w:szCs w:val="24"/>
          <w:rtl w:val="0"/>
        </w:rPr>
        <w:t xml:space="preserve"> lập luận rằng khi GDP tăng, năng lực hấp thụ và quy mô sản xuất của nền kinh tế được mở rộng, qua đó thúc đẩy xuất khẩu và cải thiện cán cân thương mại. Dựa vào những phân tích trên, nhóm đề xuất giả thuyết như sau:</w:t>
      </w:r>
    </w:p>
    <w:p w:rsidR="00000000" w:rsidDel="00000000" w:rsidP="00000000" w:rsidRDefault="00000000" w:rsidRPr="00000000" w14:paraId="0000002F">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ab/>
        <w:t xml:space="preserve">H2: </w:t>
      </w:r>
      <w:r w:rsidDel="00000000" w:rsidR="00000000" w:rsidRPr="00000000">
        <w:rPr>
          <w:rFonts w:ascii="Times New Roman" w:cs="Times New Roman" w:eastAsia="Times New Roman" w:hAnsi="Times New Roman"/>
          <w:i w:val="1"/>
          <w:iCs w:val="1"/>
          <w:sz w:val="24"/>
          <w:szCs w:val="24"/>
          <w:rtl w:val="0"/>
        </w:rPr>
        <w:t xml:space="preserve">Tổng sản phẩm quốc nội có tác động </w:t>
      </w:r>
      <w:r w:rsidDel="00000000" w:rsidR="00000000" w:rsidRPr="00000000">
        <w:rPr>
          <w:rFonts w:ascii="Times New Roman" w:cs="Times New Roman" w:eastAsia="Times New Roman" w:hAnsi="Times New Roman"/>
          <w:b w:val="1"/>
          <w:bCs w:val="1"/>
          <w:i w:val="1"/>
          <w:iCs w:val="1"/>
          <w:sz w:val="24"/>
          <w:szCs w:val="24"/>
          <w:rtl w:val="0"/>
        </w:rPr>
        <w:t xml:space="preserve">tích cực</w:t>
      </w:r>
      <w:r w:rsidDel="00000000" w:rsidR="00000000" w:rsidRPr="00000000">
        <w:rPr>
          <w:rFonts w:ascii="Times New Roman" w:cs="Times New Roman" w:eastAsia="Times New Roman" w:hAnsi="Times New Roman"/>
          <w:i w:val="1"/>
          <w:iCs w:val="1"/>
          <w:sz w:val="24"/>
          <w:szCs w:val="24"/>
          <w:rtl w:val="0"/>
        </w:rPr>
        <w:t xml:space="preserve"> đến cán cân thương mại tại các quốc gia châu Á. </w:t>
      </w:r>
    </w:p>
    <w:p w:rsidR="00000000" w:rsidDel="00000000" w:rsidP="00000000" w:rsidRDefault="00000000" w:rsidRPr="00000000" w14:paraId="0000003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giá hối đoái thực hiệu quả (REER) đóng vai trò then chốt trong thương mại quốc tế. Ở nhóm ủng hộ tác động tích cực, </w:t>
      </w:r>
      <w:hyperlink r:id="rId46">
        <w:r w:rsidDel="00000000" w:rsidR="00000000" w:rsidRPr="00000000">
          <w:rPr>
            <w:rFonts w:ascii="Times New Roman" w:cs="Times New Roman" w:eastAsia="Times New Roman" w:hAnsi="Times New Roman"/>
            <w:sz w:val="24"/>
            <w:szCs w:val="24"/>
            <w:rtl w:val="0"/>
          </w:rPr>
          <w:t xml:space="preserve">Choi (2020)</w:t>
        </w:r>
      </w:hyperlink>
      <w:r w:rsidDel="00000000" w:rsidR="00000000" w:rsidRPr="00000000">
        <w:rPr>
          <w:rFonts w:ascii="Times New Roman" w:cs="Times New Roman" w:eastAsia="Times New Roman" w:hAnsi="Times New Roman"/>
          <w:sz w:val="24"/>
          <w:szCs w:val="24"/>
          <w:rtl w:val="0"/>
        </w:rPr>
        <w:t xml:space="preserve"> đã phân tích bối cảnh nền kinh tế mở và chuỗi giá trị toàn cầu (1995-2015), kết luận rằng REER có ảnh hưởng cùng chiều đến cán cân thương mại. Đồng quan điểm, </w:t>
      </w:r>
      <w:hyperlink r:id="rId47">
        <w:r w:rsidDel="00000000" w:rsidR="00000000" w:rsidRPr="00000000">
          <w:rPr>
            <w:rFonts w:ascii="Times New Roman" w:cs="Times New Roman" w:eastAsia="Times New Roman" w:hAnsi="Times New Roman"/>
            <w:sz w:val="24"/>
            <w:szCs w:val="24"/>
            <w:rtl w:val="0"/>
          </w:rPr>
          <w:t xml:space="preserve">Dilanchiev và cộng sự (2022)</w:t>
        </w:r>
      </w:hyperlink>
      <w:r w:rsidDel="00000000" w:rsidR="00000000" w:rsidRPr="00000000">
        <w:rPr>
          <w:rFonts w:ascii="Times New Roman" w:cs="Times New Roman" w:eastAsia="Times New Roman" w:hAnsi="Times New Roman"/>
          <w:sz w:val="24"/>
          <w:szCs w:val="24"/>
          <w:rtl w:val="0"/>
        </w:rPr>
        <w:t xml:space="preserve"> khi nghiên cứu quan hệ thương mại song phương Georgia - Trung Quốc (2000-2020) cũng ghi nhận tác động tích cực trong dài hạn, mặc dù tồn tại tác động tiêu cực trong ngắn hạn. Ngược lại, </w:t>
      </w:r>
      <w:hyperlink r:id="rId48">
        <w:r w:rsidDel="00000000" w:rsidR="00000000" w:rsidRPr="00000000">
          <w:rPr>
            <w:rFonts w:ascii="Times New Roman" w:cs="Times New Roman" w:eastAsia="Times New Roman" w:hAnsi="Times New Roman"/>
            <w:sz w:val="24"/>
            <w:szCs w:val="24"/>
            <w:rtl w:val="0"/>
          </w:rPr>
          <w:t xml:space="preserve">Yaya Keho (2020)</w:t>
        </w:r>
      </w:hyperlink>
      <w:r w:rsidDel="00000000" w:rsidR="00000000" w:rsidRPr="00000000">
        <w:rPr>
          <w:rFonts w:ascii="Times New Roman" w:cs="Times New Roman" w:eastAsia="Times New Roman" w:hAnsi="Times New Roman"/>
          <w:sz w:val="24"/>
          <w:szCs w:val="24"/>
          <w:rtl w:val="0"/>
        </w:rPr>
        <w:t xml:space="preserve"> sử dụng mô hình ARDL tại Cote d’Ivoire (1975-2017) đã chỉ ra rằng sự mất giá của REER giúp cải thiện cán cân thương mại cả trong ngắn và dài hạn, hàm ý một mối quan hệ tiêu cực giữa hai biến số này. Tuy nhiên, trong bối cảnh nhiều quốc gia Châu Á tham gia sâu vào chuỗi giá trị toàn cầu với tư cách là trung tâm gia công và lắp ráp, sự biến động của tỷ giá trở thành rào cản lớn đối với trạng thái cân bằng thương mại. Do đó, vì các đặc thù kinh tế của phạm vi nghiên cứu, nhóm tác giả đề xuất giả thuyết:</w:t>
      </w:r>
    </w:p>
    <w:p w:rsidR="00000000" w:rsidDel="00000000" w:rsidP="00000000" w:rsidRDefault="00000000" w:rsidRPr="00000000" w14:paraId="00000031">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i w:val="1"/>
          <w:iCs w:val="1"/>
          <w:sz w:val="24"/>
          <w:szCs w:val="24"/>
          <w:rtl w:val="0"/>
        </w:rPr>
        <w:t xml:space="preserve">H3:</w:t>
      </w:r>
      <w:r w:rsidDel="00000000" w:rsidR="00000000" w:rsidRPr="00000000">
        <w:rPr>
          <w:rFonts w:ascii="Times New Roman" w:cs="Times New Roman" w:eastAsia="Times New Roman" w:hAnsi="Times New Roman"/>
          <w:i w:val="1"/>
          <w:iCs w:val="1"/>
          <w:sz w:val="24"/>
          <w:szCs w:val="24"/>
          <w:rtl w:val="0"/>
        </w:rPr>
        <w:t xml:space="preserve"> Tỷ giá hối đoái thực hiệu quả có tác động</w:t>
      </w:r>
      <w:r w:rsidDel="00000000" w:rsidR="00000000" w:rsidRPr="00000000">
        <w:rPr>
          <w:rFonts w:ascii="Times New Roman" w:cs="Times New Roman" w:eastAsia="Times New Roman" w:hAnsi="Times New Roman"/>
          <w:b w:val="1"/>
          <w:bCs w:val="1"/>
          <w:i w:val="1"/>
          <w:iCs w:val="1"/>
          <w:sz w:val="24"/>
          <w:szCs w:val="24"/>
          <w:rtl w:val="0"/>
        </w:rPr>
        <w:t xml:space="preserve"> tiêu cực</w:t>
      </w:r>
      <w:r w:rsidDel="00000000" w:rsidR="00000000" w:rsidRPr="00000000">
        <w:rPr>
          <w:rFonts w:ascii="Times New Roman" w:cs="Times New Roman" w:eastAsia="Times New Roman" w:hAnsi="Times New Roman"/>
          <w:i w:val="1"/>
          <w:iCs w:val="1"/>
          <w:sz w:val="24"/>
          <w:szCs w:val="24"/>
          <w:rtl w:val="0"/>
        </w:rPr>
        <w:t xml:space="preserve"> đến cán cân thương mại tại các quốc gia châu Á.</w:t>
      </w:r>
    </w:p>
    <w:p w:rsidR="00000000" w:rsidDel="00000000" w:rsidP="00000000" w:rsidRDefault="00000000" w:rsidRPr="00000000" w14:paraId="00000032">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Kể từ 2016, yếu tố bất định chính sách thương mại (TPU) đã trở thành một nhân tố chính trong những nghiên cứu về kinh tế quốc gia (</w:t>
      </w:r>
      <w:hyperlink r:id="rId49">
        <w:r w:rsidDel="00000000" w:rsidR="00000000" w:rsidRPr="00000000">
          <w:rPr>
            <w:rFonts w:ascii="Times New Roman" w:cs="Times New Roman" w:eastAsia="Times New Roman" w:hAnsi="Times New Roman"/>
            <w:sz w:val="24"/>
            <w:szCs w:val="24"/>
            <w:rtl w:val="0"/>
          </w:rPr>
          <w:t xml:space="preserve">Handley &amp; Limão, 2022</w:t>
        </w:r>
      </w:hyperlink>
      <w:r w:rsidDel="00000000" w:rsidR="00000000" w:rsidRPr="00000000">
        <w:rPr>
          <w:rFonts w:ascii="Times New Roman" w:cs="Times New Roman" w:eastAsia="Times New Roman" w:hAnsi="Times New Roman"/>
          <w:sz w:val="24"/>
          <w:szCs w:val="24"/>
          <w:rtl w:val="0"/>
        </w:rPr>
        <w:t xml:space="preserve">). Sự không chắc chắn về chính sách thương mại ảnh hưởng tiêu cực đến các khía cạnh khác nhau của nền kinh tế và xã hội (</w:t>
      </w:r>
      <w:hyperlink r:id="rId50">
        <w:r w:rsidDel="00000000" w:rsidR="00000000" w:rsidRPr="00000000">
          <w:rPr>
            <w:rFonts w:ascii="Times New Roman" w:cs="Times New Roman" w:eastAsia="Times New Roman" w:hAnsi="Times New Roman"/>
            <w:sz w:val="24"/>
            <w:szCs w:val="24"/>
            <w:rtl w:val="0"/>
          </w:rPr>
          <w:t xml:space="preserve">Lindé và Pescatori, 2019</w:t>
        </w:r>
      </w:hyperlink>
      <w:r w:rsidDel="00000000" w:rsidR="00000000" w:rsidRPr="00000000">
        <w:rPr>
          <w:rFonts w:ascii="Times New Roman" w:cs="Times New Roman" w:eastAsia="Times New Roman" w:hAnsi="Times New Roman"/>
          <w:sz w:val="24"/>
          <w:szCs w:val="24"/>
          <w:rtl w:val="0"/>
        </w:rPr>
        <w:t xml:space="preserve">; </w:t>
      </w:r>
      <w:hyperlink r:id="rId51">
        <w:r w:rsidDel="00000000" w:rsidR="00000000" w:rsidRPr="00000000">
          <w:rPr>
            <w:rFonts w:ascii="Times New Roman" w:cs="Times New Roman" w:eastAsia="Times New Roman" w:hAnsi="Times New Roman"/>
            <w:sz w:val="24"/>
            <w:szCs w:val="24"/>
            <w:rtl w:val="0"/>
          </w:rPr>
          <w:t xml:space="preserve">Furceri và cộng sự, 2020</w:t>
        </w:r>
      </w:hyperlink>
      <w:r w:rsidDel="00000000" w:rsidR="00000000" w:rsidRPr="00000000">
        <w:rPr>
          <w:rFonts w:ascii="Times New Roman" w:cs="Times New Roman" w:eastAsia="Times New Roman" w:hAnsi="Times New Roman"/>
          <w:sz w:val="24"/>
          <w:szCs w:val="24"/>
          <w:rtl w:val="0"/>
        </w:rPr>
        <w:t xml:space="preserve">), đặc biệt, nó là một rào cản quan trọng đối với xuất khẩu (</w:t>
      </w:r>
      <w:hyperlink r:id="rId52">
        <w:r w:rsidDel="00000000" w:rsidR="00000000" w:rsidRPr="00000000">
          <w:rPr>
            <w:rFonts w:ascii="Times New Roman" w:cs="Times New Roman" w:eastAsia="Times New Roman" w:hAnsi="Times New Roman"/>
            <w:sz w:val="24"/>
            <w:szCs w:val="24"/>
            <w:rtl w:val="0"/>
          </w:rPr>
          <w:t xml:space="preserve">Osnago và cộng sự, 2015</w:t>
        </w:r>
      </w:hyperlink>
      <w:r w:rsidDel="00000000" w:rsidR="00000000" w:rsidRPr="00000000">
        <w:rPr>
          <w:rFonts w:ascii="Times New Roman" w:cs="Times New Roman" w:eastAsia="Times New Roman" w:hAnsi="Times New Roman"/>
          <w:sz w:val="24"/>
          <w:szCs w:val="24"/>
          <w:rtl w:val="0"/>
        </w:rPr>
        <w:t xml:space="preserve">). Nghiên cứu năm 2022 chỉ ra rằng trong chiến tranh thương mại Mỹ - Trung (2018-2019), sự gia tăng TPU đã làm giảm đầu tư và xuất khẩu ngay cả ở những mặt hàng chưa bị áp thuế trực phạt (</w:t>
      </w:r>
      <w:hyperlink r:id="rId53">
        <w:r w:rsidDel="00000000" w:rsidR="00000000" w:rsidRPr="00000000">
          <w:rPr>
            <w:rFonts w:ascii="Times New Roman" w:cs="Times New Roman" w:eastAsia="Times New Roman" w:hAnsi="Times New Roman"/>
            <w:sz w:val="24"/>
            <w:szCs w:val="24"/>
            <w:rtl w:val="0"/>
          </w:rPr>
          <w:t xml:space="preserve">Handley &amp; Limão, 2022</w:t>
        </w:r>
      </w:hyperlink>
      <w:r w:rsidDel="00000000" w:rsidR="00000000" w:rsidRPr="00000000">
        <w:rPr>
          <w:rFonts w:ascii="Times New Roman" w:cs="Times New Roman" w:eastAsia="Times New Roman" w:hAnsi="Times New Roman"/>
          <w:sz w:val="24"/>
          <w:szCs w:val="24"/>
          <w:rtl w:val="0"/>
        </w:rPr>
        <w:t xml:space="preserve">), trong đó sự không chắc chắn này có thể ảnh hưởng đến nền kinh tế Trung Quốc với mức giảm GDP tối đa là 5,65% (</w:t>
      </w:r>
      <w:hyperlink r:id="rId54">
        <w:r w:rsidDel="00000000" w:rsidR="00000000" w:rsidRPr="00000000">
          <w:rPr>
            <w:rFonts w:ascii="Times New Roman" w:cs="Times New Roman" w:eastAsia="Times New Roman" w:hAnsi="Times New Roman"/>
            <w:sz w:val="24"/>
            <w:szCs w:val="24"/>
            <w:rtl w:val="0"/>
          </w:rPr>
          <w:t xml:space="preserve">Wang &amp; Wu, 2023</w:t>
        </w:r>
      </w:hyperlink>
      <w:r w:rsidDel="00000000" w:rsidR="00000000" w:rsidRPr="00000000">
        <w:rPr>
          <w:rFonts w:ascii="Times New Roman" w:cs="Times New Roman" w:eastAsia="Times New Roman" w:hAnsi="Times New Roman"/>
          <w:sz w:val="24"/>
          <w:szCs w:val="24"/>
          <w:rtl w:val="0"/>
        </w:rPr>
        <w:t xml:space="preserve">). Do đó, nhóm tác giả đề xuất giả thuyết: </w:t>
      </w:r>
    </w:p>
    <w:p w:rsidR="00000000" w:rsidDel="00000000" w:rsidP="00000000" w:rsidRDefault="00000000" w:rsidRPr="00000000" w14:paraId="0000003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i w:val="1"/>
          <w:iCs w:val="1"/>
          <w:sz w:val="24"/>
          <w:szCs w:val="24"/>
          <w:rtl w:val="0"/>
        </w:rPr>
        <w:t xml:space="preserve">H4: </w:t>
      </w:r>
      <w:r w:rsidDel="00000000" w:rsidR="00000000" w:rsidRPr="00000000">
        <w:rPr>
          <w:rFonts w:ascii="Times New Roman" w:cs="Times New Roman" w:eastAsia="Times New Roman" w:hAnsi="Times New Roman"/>
          <w:i w:val="1"/>
          <w:iCs w:val="1"/>
          <w:sz w:val="24"/>
          <w:szCs w:val="24"/>
          <w:rtl w:val="0"/>
        </w:rPr>
        <w:t xml:space="preserve">Bất định chính sách thương mại có tác động </w:t>
      </w:r>
      <w:r w:rsidDel="00000000" w:rsidR="00000000" w:rsidRPr="00000000">
        <w:rPr>
          <w:rFonts w:ascii="Times New Roman" w:cs="Times New Roman" w:eastAsia="Times New Roman" w:hAnsi="Times New Roman"/>
          <w:b w:val="1"/>
          <w:bCs w:val="1"/>
          <w:i w:val="1"/>
          <w:iCs w:val="1"/>
          <w:sz w:val="24"/>
          <w:szCs w:val="24"/>
          <w:rtl w:val="0"/>
        </w:rPr>
        <w:t xml:space="preserve">tiêu cực</w:t>
      </w:r>
      <w:r w:rsidDel="00000000" w:rsidR="00000000" w:rsidRPr="00000000">
        <w:rPr>
          <w:rFonts w:ascii="Times New Roman" w:cs="Times New Roman" w:eastAsia="Times New Roman" w:hAnsi="Times New Roman"/>
          <w:i w:val="1"/>
          <w:iCs w:val="1"/>
          <w:sz w:val="24"/>
          <w:szCs w:val="24"/>
          <w:rtl w:val="0"/>
        </w:rPr>
        <w:t xml:space="preserve"> đến cán cân thương mại tại các quốc gia châu Á.</w:t>
      </w:r>
      <w:r w:rsidDel="00000000" w:rsidR="00000000" w:rsidRPr="00000000">
        <w:rPr>
          <w:rtl w:val="0"/>
        </w:rPr>
      </w:r>
    </w:p>
    <w:p w:rsidR="00000000" w:rsidDel="00000000" w:rsidP="00000000" w:rsidRDefault="00000000" w:rsidRPr="00000000" w14:paraId="0000003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Dựa trên khung lý thuyết về tính dễ bị tổn thương (VSD), tính nhạy cảm là một trong ba thành phần cốt lõi quyết định mức độ tổn thương của một hệ thống trước các biến động ngoại sinh. Trong nghiên cứu này, độ nhạy quốc gia phản ánh đặc điểm nội tại của nền kinh tế, bao gồm mức độ thâm dụng năng lượng, tình trạng phúc lợi, bất bình đẳng thu nhập và các đặc điểm nhân khẩu học dễ bị tổn thương. Theo </w:t>
      </w:r>
      <w:hyperlink r:id="rId55">
        <w:r w:rsidDel="00000000" w:rsidR="00000000" w:rsidRPr="00000000">
          <w:rPr>
            <w:rFonts w:ascii="Times New Roman" w:cs="Times New Roman" w:eastAsia="Times New Roman" w:hAnsi="Times New Roman"/>
            <w:sz w:val="24"/>
            <w:szCs w:val="24"/>
            <w:rtl w:val="0"/>
          </w:rPr>
          <w:t xml:space="preserve">Sovacool &amp; Mukherjee (2011)</w:t>
        </w:r>
      </w:hyperlink>
      <w:r w:rsidDel="00000000" w:rsidR="00000000" w:rsidRPr="00000000">
        <w:rPr>
          <w:rFonts w:ascii="Times New Roman" w:cs="Times New Roman" w:eastAsia="Times New Roman" w:hAnsi="Times New Roman"/>
          <w:sz w:val="24"/>
          <w:szCs w:val="24"/>
          <w:rtl w:val="0"/>
        </w:rPr>
        <w:t xml:space="preserve"> và </w:t>
      </w:r>
      <w:hyperlink r:id="rId56">
        <w:r w:rsidDel="00000000" w:rsidR="00000000" w:rsidRPr="00000000">
          <w:rPr>
            <w:rFonts w:ascii="Times New Roman" w:cs="Times New Roman" w:eastAsia="Times New Roman" w:hAnsi="Times New Roman"/>
            <w:sz w:val="24"/>
            <w:szCs w:val="24"/>
            <w:rtl w:val="0"/>
          </w:rPr>
          <w:t xml:space="preserve">Sovacool (2013)</w:t>
        </w:r>
      </w:hyperlink>
      <w:r w:rsidDel="00000000" w:rsidR="00000000" w:rsidRPr="00000000">
        <w:rPr>
          <w:rFonts w:ascii="Times New Roman" w:cs="Times New Roman" w:eastAsia="Times New Roman" w:hAnsi="Times New Roman"/>
          <w:sz w:val="24"/>
          <w:szCs w:val="24"/>
          <w:rtl w:val="0"/>
        </w:rPr>
        <w:t xml:space="preserve">, mức độ thâm dụng năng lượng cao trong cơ cấu sản xuất và tiêu dùng làm gia tăng sự nhạy của quốc gia trước các biến động chi phí đầu vào. Tại các quốc gia Châu Á thâm dụng năng lượng, sự gia tăng của chỉ số SEN thường gắn liền với chi phí nhập khẩu năng lượng lớn, trực tiếp gây áp lực thâm hụt lên cán cân thương mại. Về tỷ lệ thất nghiệp và tỷ lệ phụ thuộc dân số, </w:t>
      </w:r>
      <w:hyperlink r:id="rId57">
        <w:r w:rsidDel="00000000" w:rsidR="00000000" w:rsidRPr="00000000">
          <w:rPr>
            <w:rFonts w:ascii="Times New Roman" w:cs="Times New Roman" w:eastAsia="Times New Roman" w:hAnsi="Times New Roman"/>
            <w:sz w:val="24"/>
            <w:szCs w:val="24"/>
            <w:rtl w:val="0"/>
          </w:rPr>
          <w:t xml:space="preserve">Kocaaslan (2019)</w:t>
        </w:r>
      </w:hyperlink>
      <w:r w:rsidDel="00000000" w:rsidR="00000000" w:rsidRPr="00000000">
        <w:rPr>
          <w:rFonts w:ascii="Times New Roman" w:cs="Times New Roman" w:eastAsia="Times New Roman" w:hAnsi="Times New Roman"/>
          <w:sz w:val="24"/>
          <w:szCs w:val="24"/>
          <w:rtl w:val="0"/>
        </w:rPr>
        <w:t xml:space="preserve"> và </w:t>
      </w:r>
      <w:hyperlink r:id="rId58">
        <w:r w:rsidDel="00000000" w:rsidR="00000000" w:rsidRPr="00000000">
          <w:rPr>
            <w:rFonts w:ascii="Times New Roman" w:cs="Times New Roman" w:eastAsia="Times New Roman" w:hAnsi="Times New Roman"/>
            <w:sz w:val="24"/>
            <w:szCs w:val="24"/>
            <w:rtl w:val="0"/>
          </w:rPr>
          <w:t xml:space="preserve">Adeosun và cộng sự (2023)</w:t>
        </w:r>
      </w:hyperlink>
      <w:r w:rsidDel="00000000" w:rsidR="00000000" w:rsidRPr="00000000">
        <w:rPr>
          <w:rFonts w:ascii="Times New Roman" w:cs="Times New Roman" w:eastAsia="Times New Roman" w:hAnsi="Times New Roman"/>
          <w:sz w:val="24"/>
          <w:szCs w:val="24"/>
          <w:rtl w:val="0"/>
        </w:rPr>
        <w:t xml:space="preserve"> khẳng định rằng những bất ổn trong chỉ số nhân khẩu học làm suy yếu năng lực thích ứng của nền kinh tế, khiến cán cân thương mại dễ bị tổn thương hơn khi đối mặt với sự sụt giảm nhu cầu toàn cầu. Bên cạnh đó, </w:t>
      </w:r>
      <w:hyperlink r:id="rId59">
        <w:r w:rsidDel="00000000" w:rsidR="00000000" w:rsidRPr="00000000">
          <w:rPr>
            <w:rFonts w:ascii="Times New Roman" w:cs="Times New Roman" w:eastAsia="Times New Roman" w:hAnsi="Times New Roman"/>
            <w:sz w:val="24"/>
            <w:szCs w:val="24"/>
            <w:rtl w:val="0"/>
          </w:rPr>
          <w:t xml:space="preserve">Yang và cộng sự (2022)</w:t>
        </w:r>
      </w:hyperlink>
      <w:r w:rsidDel="00000000" w:rsidR="00000000" w:rsidRPr="00000000">
        <w:rPr>
          <w:rFonts w:ascii="Times New Roman" w:cs="Times New Roman" w:eastAsia="Times New Roman" w:hAnsi="Times New Roman"/>
          <w:sz w:val="24"/>
          <w:szCs w:val="24"/>
          <w:rtl w:val="0"/>
        </w:rPr>
        <w:t xml:space="preserve"> chứng minh rằng sự phân phối thu nhập trong nước đóng vai trò then chốt trong việc bẻ lái phản ứng của nền kinh tế, nơi các quốc gia có độ nhạy cảm xã hội cao thường chịu tác động tiêu cực nặng nề hơn từ các cú sốc bên ngoài. Từ những phân tích trên, nhóm đề xuất giả thuyết:</w:t>
      </w:r>
    </w:p>
    <w:p w:rsidR="00000000" w:rsidDel="00000000" w:rsidP="00000000" w:rsidRDefault="00000000" w:rsidRPr="00000000" w14:paraId="00000035">
      <w:pPr>
        <w:spacing w:line="24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H5:</w:t>
      </w:r>
      <w:r w:rsidDel="00000000" w:rsidR="00000000" w:rsidRPr="00000000">
        <w:rPr>
          <w:rFonts w:ascii="Times New Roman" w:cs="Times New Roman" w:eastAsia="Times New Roman" w:hAnsi="Times New Roman"/>
          <w:i w:val="1"/>
          <w:iCs w:val="1"/>
          <w:sz w:val="24"/>
          <w:szCs w:val="24"/>
          <w:rtl w:val="0"/>
        </w:rPr>
        <w:t xml:space="preserve"> Độ nhạy quốc gia có tác động </w:t>
      </w:r>
      <w:r w:rsidDel="00000000" w:rsidR="00000000" w:rsidRPr="00000000">
        <w:rPr>
          <w:rFonts w:ascii="Times New Roman" w:cs="Times New Roman" w:eastAsia="Times New Roman" w:hAnsi="Times New Roman"/>
          <w:b w:val="1"/>
          <w:bCs w:val="1"/>
          <w:i w:val="1"/>
          <w:iCs w:val="1"/>
          <w:sz w:val="24"/>
          <w:szCs w:val="24"/>
          <w:rtl w:val="0"/>
        </w:rPr>
        <w:t xml:space="preserve">tiêu cực</w:t>
      </w:r>
      <w:r w:rsidDel="00000000" w:rsidR="00000000" w:rsidRPr="00000000">
        <w:rPr>
          <w:rFonts w:ascii="Times New Roman" w:cs="Times New Roman" w:eastAsia="Times New Roman" w:hAnsi="Times New Roman"/>
          <w:i w:val="1"/>
          <w:iCs w:val="1"/>
          <w:sz w:val="24"/>
          <w:szCs w:val="24"/>
          <w:rtl w:val="0"/>
        </w:rPr>
        <w:t xml:space="preserve"> đến cán cân thương mại tại các quốc gia châu Á.</w:t>
      </w:r>
    </w:p>
    <w:p w:rsidR="00000000" w:rsidDel="00000000" w:rsidP="00000000" w:rsidRDefault="00000000" w:rsidRPr="00000000" w14:paraId="0000003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Phương pháp nghiên cứu</w:t>
      </w:r>
    </w:p>
    <w:p w:rsidR="00000000" w:rsidDel="00000000" w:rsidP="00000000" w:rsidRDefault="00000000" w:rsidRPr="00000000" w14:paraId="00000037">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3.1. Mô hình nghiên cứu</w:t>
      </w:r>
    </w:p>
    <w:p w:rsidR="00000000" w:rsidDel="00000000" w:rsidP="00000000" w:rsidRDefault="00000000" w:rsidRPr="00000000" w14:paraId="0000003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Dựa trên khung lý thuyết về tính dễ bị tổn thương (Vulnerability Scoping Diagram - VSD) do </w:t>
      </w:r>
      <w:hyperlink r:id="rId60">
        <w:r w:rsidDel="00000000" w:rsidR="00000000" w:rsidRPr="00000000">
          <w:rPr>
            <w:rFonts w:ascii="Times New Roman" w:cs="Times New Roman" w:eastAsia="Times New Roman" w:hAnsi="Times New Roman"/>
            <w:sz w:val="24"/>
            <w:szCs w:val="24"/>
            <w:rtl w:val="0"/>
          </w:rPr>
          <w:t xml:space="preserve">Turner và cộng sự (2003)</w:t>
        </w:r>
      </w:hyperlink>
      <w:r w:rsidDel="00000000" w:rsidR="00000000" w:rsidRPr="00000000">
        <w:rPr>
          <w:rFonts w:ascii="Times New Roman" w:cs="Times New Roman" w:eastAsia="Times New Roman" w:hAnsi="Times New Roman"/>
          <w:sz w:val="24"/>
          <w:szCs w:val="24"/>
          <w:rtl w:val="0"/>
        </w:rPr>
        <w:t xml:space="preserve"> đề xuất và được </w:t>
      </w:r>
      <w:hyperlink r:id="rId61">
        <w:r w:rsidDel="00000000" w:rsidR="00000000" w:rsidRPr="00000000">
          <w:rPr>
            <w:rFonts w:ascii="Times New Roman" w:cs="Times New Roman" w:eastAsia="Times New Roman" w:hAnsi="Times New Roman"/>
            <w:sz w:val="24"/>
            <w:szCs w:val="24"/>
            <w:rtl w:val="0"/>
          </w:rPr>
          <w:t xml:space="preserve">Sovacool &amp; Mukherjee (2011)</w:t>
        </w:r>
      </w:hyperlink>
      <w:r w:rsidDel="00000000" w:rsidR="00000000" w:rsidRPr="00000000">
        <w:rPr>
          <w:rFonts w:ascii="Times New Roman" w:cs="Times New Roman" w:eastAsia="Times New Roman" w:hAnsi="Times New Roman"/>
          <w:sz w:val="24"/>
          <w:szCs w:val="24"/>
          <w:rtl w:val="0"/>
        </w:rPr>
        <w:t xml:space="preserve">, </w:t>
      </w:r>
      <w:hyperlink r:id="rId62">
        <w:r w:rsidDel="00000000" w:rsidR="00000000" w:rsidRPr="00000000">
          <w:rPr>
            <w:rFonts w:ascii="Times New Roman" w:cs="Times New Roman" w:eastAsia="Times New Roman" w:hAnsi="Times New Roman"/>
            <w:sz w:val="24"/>
            <w:szCs w:val="24"/>
            <w:rtl w:val="0"/>
          </w:rPr>
          <w:t xml:space="preserve">Sovacool, (2013</w:t>
        </w:r>
      </w:hyperlink>
      <w:r w:rsidDel="00000000" w:rsidR="00000000" w:rsidRPr="00000000">
        <w:rPr>
          <w:rFonts w:ascii="Times New Roman" w:cs="Times New Roman" w:eastAsia="Times New Roman" w:hAnsi="Times New Roman"/>
          <w:sz w:val="24"/>
          <w:szCs w:val="24"/>
          <w:rtl w:val="0"/>
        </w:rPr>
        <w:t xml:space="preserve">) vận dụng trong lĩnh vực an ninh năng lượng, điều kiện </w:t>
      </w:r>
      <w:hyperlink r:id="rId63">
        <w:r w:rsidDel="00000000" w:rsidR="00000000" w:rsidRPr="00000000">
          <w:rPr>
            <w:rFonts w:ascii="Times New Roman" w:cs="Times New Roman" w:eastAsia="Times New Roman" w:hAnsi="Times New Roman"/>
            <w:sz w:val="24"/>
            <w:szCs w:val="24"/>
            <w:rtl w:val="0"/>
          </w:rPr>
          <w:t xml:space="preserve">Marshall-Lerner (1944)</w:t>
        </w:r>
      </w:hyperlink>
      <w:r w:rsidDel="00000000" w:rsidR="00000000" w:rsidRPr="00000000">
        <w:rPr>
          <w:rFonts w:ascii="Times New Roman" w:cs="Times New Roman" w:eastAsia="Times New Roman" w:hAnsi="Times New Roman"/>
          <w:sz w:val="24"/>
          <w:szCs w:val="24"/>
          <w:rtl w:val="0"/>
        </w:rPr>
        <w:t xml:space="preserve"> và lý thuyết lợi thế cạnh tranh quốc gia của </w:t>
      </w:r>
      <w:hyperlink r:id="rId64">
        <w:r w:rsidDel="00000000" w:rsidR="00000000" w:rsidRPr="00000000">
          <w:rPr>
            <w:rFonts w:ascii="Times New Roman" w:cs="Times New Roman" w:eastAsia="Times New Roman" w:hAnsi="Times New Roman"/>
            <w:sz w:val="24"/>
            <w:szCs w:val="24"/>
            <w:rtl w:val="0"/>
          </w:rPr>
          <w:t xml:space="preserve">Porter (1990)</w:t>
        </w:r>
      </w:hyperlink>
      <w:r w:rsidDel="00000000" w:rsidR="00000000" w:rsidRPr="00000000">
        <w:rPr>
          <w:rFonts w:ascii="Times New Roman" w:cs="Times New Roman" w:eastAsia="Times New Roman" w:hAnsi="Times New Roman"/>
          <w:sz w:val="24"/>
          <w:szCs w:val="24"/>
          <w:rtl w:val="0"/>
        </w:rPr>
        <w:t xml:space="preserve">, nghiên cứu này xây dựng mô hình nhằm phân tích tác động của các yếu tố vĩ mô đến cán cân thương mại của các quốc gia châu Á trong giai đoạn nghiên cứu (1990-2024). Trên cơ sở đó, nghiên cứu xây dựng mô hình nhằm phân tích tác động trực tiếp của biến động giá dầu, bất định chính sách thương mại toàn cầu và độ nhạy quốc gia lên cán cân thương mại các quốc gia châu Á, đồng thời kiểm soát vai trò của GDP và REER để phản ánh năng lực cạnh tranh và điều kiện kinh tế vĩ mô.</w:t>
      </w:r>
    </w:p>
    <w:p w:rsidR="00000000" w:rsidDel="00000000" w:rsidP="00000000" w:rsidRDefault="00000000" w:rsidRPr="00000000" w14:paraId="0000003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Trước hết, nghiên cứu xem xét tác động trực tiếp của các yếu tố vĩ mô và độ nhạy quốc gia lên cán cân thương mại thông qua mô hình hồi quy dữ liệu bảng như sau:</w:t>
      </w:r>
    </w:p>
    <w:p w:rsidR="00000000" w:rsidDel="00000000" w:rsidP="00000000" w:rsidRDefault="00000000" w:rsidRPr="00000000" w14:paraId="0000003A">
      <w:pPr>
        <w:spacing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lnE/I</w:t>
      </w:r>
      <w:r w:rsidDel="00000000" w:rsidR="00000000" w:rsidRPr="00000000">
        <w:rPr>
          <w:rFonts w:ascii="Times New Roman" w:cs="Times New Roman" w:eastAsia="Times New Roman" w:hAnsi="Times New Roman"/>
          <w:sz w:val="24"/>
          <w:szCs w:val="24"/>
          <w:vertAlign w:val="subscript"/>
          <w:rtl w:val="0"/>
        </w:rPr>
        <w:t xml:space="preserve">it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0</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lnE/I</w:t>
      </w:r>
      <w:r w:rsidDel="00000000" w:rsidR="00000000" w:rsidRPr="00000000">
        <w:rPr>
          <w:rFonts w:ascii="Times New Roman" w:cs="Times New Roman" w:eastAsia="Times New Roman" w:hAnsi="Times New Roman"/>
          <w:sz w:val="24"/>
          <w:szCs w:val="24"/>
          <w:vertAlign w:val="subscript"/>
          <w:rtl w:val="0"/>
        </w:rPr>
        <w:t xml:space="preserve">i,t (-1)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OP​</w:t>
      </w:r>
      <w:r w:rsidDel="00000000" w:rsidR="00000000" w:rsidRPr="00000000">
        <w:rPr>
          <w:rFonts w:ascii="Times New Roman" w:cs="Times New Roman" w:eastAsia="Times New Roman" w:hAnsi="Times New Roman"/>
          <w:sz w:val="24"/>
          <w:szCs w:val="24"/>
          <w:vertAlign w:val="subscript"/>
          <w:rtl w:val="0"/>
        </w:rPr>
        <w:t xml:space="preserve">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3</w:t>
      </w:r>
      <w:r w:rsidDel="00000000" w:rsidR="00000000" w:rsidRPr="00000000">
        <w:rPr>
          <w:rFonts w:ascii="Times New Roman" w:cs="Times New Roman" w:eastAsia="Times New Roman" w:hAnsi="Times New Roman"/>
          <w:sz w:val="24"/>
          <w:szCs w:val="24"/>
          <w:vertAlign w:val="subscript"/>
          <w:rtl w:val="0"/>
        </w:rPr>
        <w:t xml:space="preserve">​</w:t>
      </w:r>
      <w:r w:rsidDel="00000000" w:rsidR="00000000" w:rsidRPr="00000000">
        <w:rPr>
          <w:rFonts w:ascii="Times New Roman" w:cs="Times New Roman" w:eastAsia="Times New Roman" w:hAnsi="Times New Roman"/>
          <w:sz w:val="24"/>
          <w:szCs w:val="24"/>
          <w:rtl w:val="0"/>
        </w:rPr>
        <w:t xml:space="preserve">lnGDP</w:t>
      </w:r>
      <w:r w:rsidDel="00000000" w:rsidR="00000000" w:rsidRPr="00000000">
        <w:rPr>
          <w:rFonts w:ascii="Times New Roman" w:cs="Times New Roman" w:eastAsia="Times New Roman" w:hAnsi="Times New Roman"/>
          <w:sz w:val="24"/>
          <w:szCs w:val="24"/>
          <w:vertAlign w:val="subscript"/>
          <w:rtl w:val="0"/>
        </w:rPr>
        <w:t xml:space="preserve">i,t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lnREER</w:t>
      </w:r>
      <w:r w:rsidDel="00000000" w:rsidR="00000000" w:rsidRPr="00000000">
        <w:rPr>
          <w:rFonts w:ascii="Times New Roman" w:cs="Times New Roman" w:eastAsia="Times New Roman" w:hAnsi="Times New Roman"/>
          <w:sz w:val="24"/>
          <w:szCs w:val="24"/>
          <w:vertAlign w:val="subscript"/>
          <w:rtl w:val="0"/>
        </w:rPr>
        <w:t xml:space="preserve">i,t</w:t>
      </w:r>
      <w:r w:rsidDel="00000000" w:rsidR="00000000" w:rsidRPr="00000000">
        <w:rPr>
          <w:rFonts w:ascii="Times New Roman" w:cs="Times New Roman" w:eastAsia="Times New Roman" w:hAnsi="Times New Roman"/>
          <w:sz w:val="24"/>
          <w:szCs w:val="24"/>
          <w:rtl w:val="0"/>
        </w:rPr>
        <w:t xml:space="preserve">​ + β</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​TPU</w:t>
      </w:r>
      <w:r w:rsidDel="00000000" w:rsidR="00000000" w:rsidRPr="00000000">
        <w:rPr>
          <w:rFonts w:ascii="Times New Roman" w:cs="Times New Roman" w:eastAsia="Times New Roman" w:hAnsi="Times New Roman"/>
          <w:sz w:val="24"/>
          <w:szCs w:val="24"/>
          <w:vertAlign w:val="subscript"/>
          <w:rtl w:val="0"/>
        </w:rPr>
        <w:t xml:space="preserve">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β</w:t>
      </w:r>
      <w:r w:rsidDel="00000000" w:rsidR="00000000" w:rsidRPr="00000000">
        <w:rPr>
          <w:rFonts w:ascii="Times New Roman" w:cs="Times New Roman" w:eastAsia="Times New Roman" w:hAnsi="Times New Roman"/>
          <w:i w:val="1"/>
          <w:iCs w:val="1"/>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SEN</w:t>
      </w:r>
      <w:r w:rsidDel="00000000" w:rsidR="00000000" w:rsidRPr="00000000">
        <w:rPr>
          <w:rFonts w:ascii="Times New Roman" w:cs="Times New Roman" w:eastAsia="Times New Roman" w:hAnsi="Times New Roman"/>
          <w:sz w:val="24"/>
          <w:szCs w:val="24"/>
          <w:vertAlign w:val="subscript"/>
          <w:rtl w:val="0"/>
        </w:rPr>
        <w:t xml:space="preserve">i,t​</w:t>
      </w:r>
      <w:r w:rsidDel="00000000" w:rsidR="00000000" w:rsidRPr="00000000">
        <w:rPr>
          <w:rFonts w:ascii="Times New Roman" w:cs="Times New Roman" w:eastAsia="Times New Roman" w:hAnsi="Times New Roman"/>
          <w:sz w:val="24"/>
          <w:szCs w:val="24"/>
          <w:rtl w:val="0"/>
        </w:rPr>
        <w:t xml:space="preserve"> + ε</w:t>
      </w:r>
      <w:r w:rsidDel="00000000" w:rsidR="00000000" w:rsidRPr="00000000">
        <w:rPr>
          <w:rFonts w:ascii="Times New Roman" w:cs="Times New Roman" w:eastAsia="Times New Roman" w:hAnsi="Times New Roman"/>
          <w:sz w:val="24"/>
          <w:szCs w:val="24"/>
          <w:vertAlign w:val="subscript"/>
          <w:rtl w:val="0"/>
        </w:rPr>
        <w:t xml:space="preserve">i,t</w:t>
      </w:r>
      <w:r w:rsidDel="00000000" w:rsidR="00000000" w:rsidRPr="00000000">
        <w:rPr>
          <w:rtl w:val="0"/>
        </w:rPr>
      </w:r>
    </w:p>
    <w:p w:rsidR="00000000" w:rsidDel="00000000" w:rsidP="00000000" w:rsidRDefault="00000000" w:rsidRPr="00000000" w14:paraId="0000003B">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đó, i đại diện cho quốc gia (i = 1,…,45) và t đại diện cho năm (1990 - 2024), lnE/I là biến phụ thuộc được xác định là giá trị logarit tự nhiên của cán cân thương mại của các quốc gia châu Á, β0, β1,...lần lượt là hệ số chặn và các hệ số ước lượng của các biến độc lập lần lượt là biến động giá dầu, GDP thực, tỷ giá hối đoái thực hiệu quả, bất định chính sách thương mại toàn cầu. Phần dư ε (Error term) là chênh lệch giữa giá trị thực tế và giá trị được dự đoán bởi phương trình hồi quy.</w:t>
      </w:r>
    </w:p>
    <w:p w:rsidR="00000000" w:rsidDel="00000000" w:rsidP="00000000" w:rsidRDefault="00000000" w:rsidRPr="00000000" w14:paraId="0000003C">
      <w:pPr>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3.2. Dữ liệu nghiên cứu</w:t>
      </w:r>
    </w:p>
    <w:p w:rsidR="00000000" w:rsidDel="00000000" w:rsidP="00000000" w:rsidRDefault="00000000" w:rsidRPr="00000000" w14:paraId="0000003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Bài nghiên cứu sử dụng bộ dữ liệu về cán cân thương mại của 45 quốc gia, vùng lãnh thổ châu Á trong giai đoạn 1990-2024 bao gồm: Afghanistan, Armenia, Azerbaijan, Bahrain, Bangladesh, Bhutan, Brunei, Cambodia, China, Cyprus, Georgia, India, Indonesia, Iran, Iraq, Israel, Japan, Jordan, Kazakhstan, Kuwait, Kyrgyzstan, Laos, Lebanon, Malaysia, Maldives, Mongolia, Nepal, Oman, Pakistan, Philippines, Qatar, Saudi Arabia, Singapore, South Korea, Sri Lanka, Syria, Tajikistan, Thailand, Timor-Leste, Turkey, Turkmenistan, the United Arab Emirates (UAE), Uzbekistan, Vietnam, Yemen. Sau khi xử lý dữ liệu theo quy trình, lược bỏ các quan sát dị biệt và quan sát không có dữ liệu, bộ dữ liệu ghi nhận 1400 quan sát từ 45 quốc gia, vùng lãnh thổ tại châu Á. Các biến quan sát và nguồn lấy dữ liệu được trình bày trong Bảng 3.1. bên dưới.</w:t>
      </w:r>
    </w:p>
    <w:p w:rsidR="00000000" w:rsidDel="00000000" w:rsidP="00000000" w:rsidRDefault="00000000" w:rsidRPr="00000000" w14:paraId="0000003E">
      <w:pPr>
        <w:spacing w:line="240" w:lineRule="auto"/>
        <w:ind w:firstLine="7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3.1. Các biến và nguồn lấy dữ liệu</w:t>
      </w:r>
    </w:p>
    <w:tbl>
      <w:tblPr>
        <w:tblStyle w:val="Table2"/>
        <w:tblW w:w="9060.0" w:type="dxa"/>
        <w:jc w:val="left"/>
        <w:tblInd w:w="-95.0" w:type="dxa"/>
        <w:tblBorders>
          <w:top w:color="000000" w:space="0" w:sz="4" w:val="single"/>
        </w:tblBorders>
        <w:tblLayout w:type="fixed"/>
        <w:tblLook w:val="0400"/>
      </w:tblPr>
      <w:tblGrid>
        <w:gridCol w:w="1095"/>
        <w:gridCol w:w="2970"/>
        <w:gridCol w:w="2040"/>
        <w:gridCol w:w="1245"/>
        <w:gridCol w:w="1710"/>
        <w:tblGridChange w:id="0">
          <w:tblGrid>
            <w:gridCol w:w="1095"/>
            <w:gridCol w:w="2970"/>
            <w:gridCol w:w="2040"/>
            <w:gridCol w:w="1245"/>
            <w:gridCol w:w="1710"/>
          </w:tblGrid>
        </w:tblGridChange>
      </w:tblGrid>
      <w:tr>
        <w:trPr>
          <w:cantSplit w:val="0"/>
          <w:trHeight w:val="290" w:hRule="atLeast"/>
          <w:tblHeader w:val="0"/>
        </w:trPr>
        <w:tc>
          <w:tcPr>
            <w:gridSpan w:val="2"/>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3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41">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4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4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Nguồn</w:t>
            </w:r>
          </w:p>
        </w:tc>
      </w:tr>
      <w:tr>
        <w:trPr>
          <w:cantSplit w:val="0"/>
          <w:trHeight w:val="479" w:hRule="atLeast"/>
          <w:tblHeader w:val="0"/>
        </w:trPr>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lnE/I</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Cán cân thương mại</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Xuất khẩu</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8">
            <w:pPr>
              <w:spacing w:line="240" w:lineRule="auto"/>
              <w:jc w:val="center"/>
              <w:rPr>
                <w:rFonts w:ascii="Times New Roman" w:cs="Times New Roman" w:eastAsia="Times New Roman" w:hAnsi="Times New Roman"/>
                <w:sz w:val="24"/>
                <w:szCs w:val="24"/>
              </w:rPr>
            </w:pPr>
            <w:hyperlink r:id="rId65">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324" w:hRule="atLeast"/>
          <w:tblHeader w:val="0"/>
        </w:trPr>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Nhập khẩu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D">
            <w:pPr>
              <w:spacing w:line="240" w:lineRule="auto"/>
              <w:jc w:val="center"/>
              <w:rPr>
                <w:rFonts w:ascii="Times New Roman" w:cs="Times New Roman" w:eastAsia="Times New Roman" w:hAnsi="Times New Roman"/>
                <w:sz w:val="24"/>
                <w:szCs w:val="24"/>
              </w:rPr>
            </w:pPr>
            <w:hyperlink r:id="rId66">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334"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4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Biến động giá dầu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USD/thùng</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2">
            <w:pPr>
              <w:spacing w:line="240" w:lineRule="auto"/>
              <w:jc w:val="center"/>
              <w:rPr>
                <w:rFonts w:ascii="Times New Roman" w:cs="Times New Roman" w:eastAsia="Times New Roman" w:hAnsi="Times New Roman"/>
                <w:sz w:val="24"/>
                <w:szCs w:val="24"/>
              </w:rPr>
            </w:pPr>
            <w:hyperlink r:id="rId67">
              <w:r w:rsidDel="00000000" w:rsidR="00000000" w:rsidRPr="00000000">
                <w:rPr>
                  <w:rFonts w:ascii="Times New Roman" w:cs="Times New Roman" w:eastAsia="Times New Roman" w:hAnsi="Times New Roman"/>
                  <w:sz w:val="24"/>
                  <w:szCs w:val="24"/>
                  <w:rtl w:val="0"/>
                </w:rPr>
                <w:t xml:space="preserve">Fred St. Louis</w:t>
              </w:r>
            </w:hyperlink>
            <w:r w:rsidDel="00000000" w:rsidR="00000000" w:rsidRPr="00000000">
              <w:rPr>
                <w:rtl w:val="0"/>
              </w:rPr>
            </w:r>
          </w:p>
        </w:tc>
      </w:tr>
      <w:tr>
        <w:trPr>
          <w:cantSplit w:val="0"/>
          <w:trHeight w:val="400"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lnGDP</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sản phẩm quốc nội</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7">
            <w:pPr>
              <w:spacing w:line="240" w:lineRule="auto"/>
              <w:jc w:val="center"/>
              <w:rPr>
                <w:rFonts w:ascii="Times New Roman" w:cs="Times New Roman" w:eastAsia="Times New Roman" w:hAnsi="Times New Roman"/>
                <w:sz w:val="24"/>
                <w:szCs w:val="24"/>
              </w:rPr>
            </w:pPr>
            <w:hyperlink r:id="rId68">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400"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lnREER</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giá hối đoái thực hiệu quả</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số</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C">
            <w:pPr>
              <w:spacing w:line="240" w:lineRule="auto"/>
              <w:jc w:val="center"/>
              <w:rPr>
                <w:rFonts w:ascii="Times New Roman" w:cs="Times New Roman" w:eastAsia="Times New Roman" w:hAnsi="Times New Roman"/>
                <w:sz w:val="24"/>
                <w:szCs w:val="24"/>
              </w:rPr>
            </w:pPr>
            <w:hyperlink r:id="rId69">
              <w:r w:rsidDel="00000000" w:rsidR="00000000" w:rsidRPr="00000000">
                <w:rPr>
                  <w:rFonts w:ascii="Times New Roman" w:cs="Times New Roman" w:eastAsia="Times New Roman" w:hAnsi="Times New Roman"/>
                  <w:sz w:val="24"/>
                  <w:szCs w:val="24"/>
                  <w:rtl w:val="0"/>
                </w:rPr>
                <w:t xml:space="preserve">Bruegel</w:t>
              </w:r>
            </w:hyperlink>
            <w:r w:rsidDel="00000000" w:rsidR="00000000" w:rsidRPr="00000000">
              <w:rPr>
                <w:rFonts w:ascii="Times New Roman" w:cs="Times New Roman" w:eastAsia="Times New Roman" w:hAnsi="Times New Roman"/>
                <w:sz w:val="24"/>
                <w:szCs w:val="24"/>
                <w:rtl w:val="0"/>
              </w:rPr>
              <w:t xml:space="preserve"> </w:t>
            </w:r>
          </w:p>
        </w:tc>
      </w:tr>
      <w:tr>
        <w:trPr>
          <w:cantSplit w:val="0"/>
          <w:trHeight w:val="400" w:hRule="atLeast"/>
          <w:tblHeader w:val="0"/>
        </w:trPr>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gridSpan w:val="2"/>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số bất định chính sách toàn cầu</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số</w:t>
            </w:r>
          </w:p>
        </w:tc>
        <w:tc>
          <w:tcPr>
            <w:tcBorders>
              <w:top w:color="000000" w:space="0" w:sz="0" w:val="nil"/>
              <w:left w:color="000000" w:space="0" w:sz="0" w:val="nil"/>
              <w:right w:color="000000" w:space="0" w:sz="0" w:val="nil"/>
            </w:tcBorders>
            <w:tcMar>
              <w:top w:w="28.0" w:type="dxa"/>
              <w:left w:w="28.0" w:type="dxa"/>
              <w:bottom w:w="28.0" w:type="dxa"/>
              <w:right w:w="28.0" w:type="dxa"/>
            </w:tcMar>
          </w:tcPr>
          <w:p w:rsidR="00000000" w:rsidDel="00000000" w:rsidP="00000000" w:rsidRDefault="00000000" w:rsidRPr="00000000" w14:paraId="00000061">
            <w:pPr>
              <w:spacing w:line="240" w:lineRule="auto"/>
              <w:jc w:val="center"/>
              <w:rPr>
                <w:rFonts w:ascii="Times New Roman" w:cs="Times New Roman" w:eastAsia="Times New Roman" w:hAnsi="Times New Roman"/>
                <w:sz w:val="24"/>
                <w:szCs w:val="24"/>
              </w:rPr>
            </w:pPr>
            <w:hyperlink r:id="rId70">
              <w:r w:rsidDel="00000000" w:rsidR="00000000" w:rsidRPr="00000000">
                <w:rPr>
                  <w:rFonts w:ascii="Times New Roman" w:cs="Times New Roman" w:eastAsia="Times New Roman" w:hAnsi="Times New Roman"/>
                  <w:sz w:val="24"/>
                  <w:szCs w:val="24"/>
                  <w:rtl w:val="0"/>
                </w:rPr>
                <w:t xml:space="preserve">Caldara và cộng sự</w:t>
              </w:r>
            </w:hyperlink>
            <w:r w:rsidDel="00000000" w:rsidR="00000000" w:rsidRPr="00000000">
              <w:rPr>
                <w:rtl w:val="0"/>
              </w:rPr>
            </w:r>
          </w:p>
        </w:tc>
      </w:tr>
      <w:tr>
        <w:trPr>
          <w:cantSplit w:val="0"/>
          <w:trHeight w:val="435" w:hRule="atLeast"/>
          <w:tblHeader w:val="0"/>
        </w:trPr>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gridSpan w:val="2"/>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 nhạy quốc gia</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số</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Bảng 3.2</w:t>
            </w:r>
          </w:p>
        </w:tc>
      </w:tr>
    </w:tbl>
    <w:p w:rsidR="00000000" w:rsidDel="00000000" w:rsidP="00000000" w:rsidRDefault="00000000" w:rsidRPr="00000000" w14:paraId="00000067">
      <w:pPr>
        <w:spacing w:line="240"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w:t>
      </w:r>
      <w:r w:rsidDel="00000000" w:rsidR="00000000" w:rsidRPr="00000000">
        <w:rPr>
          <w:rFonts w:ascii="Times New Roman" w:cs="Times New Roman" w:eastAsia="Times New Roman" w:hAnsi="Times New Roman"/>
          <w:i w:val="1"/>
          <w:iCs w:val="1"/>
          <w:sz w:val="24"/>
          <w:szCs w:val="24"/>
          <w:rtl w:val="0"/>
        </w:rPr>
        <w:t xml:space="preserve"> Tổng hợp từ nhóm tác giả (2026)</w:t>
      </w:r>
    </w:p>
    <w:p w:rsidR="00000000" w:rsidDel="00000000" w:rsidP="00000000" w:rsidRDefault="00000000" w:rsidRPr="00000000" w14:paraId="00000068">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3.3. Phương pháp đo lường</w:t>
      </w:r>
    </w:p>
    <w:p w:rsidR="00000000" w:rsidDel="00000000" w:rsidP="00000000" w:rsidRDefault="00000000" w:rsidRPr="00000000" w14:paraId="0000006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Dựa trên khung lý thuyết Vulnerability Scoping Diagram và nghiên cứu của </w:t>
      </w:r>
      <w:hyperlink r:id="rId71">
        <w:r w:rsidDel="00000000" w:rsidR="00000000" w:rsidRPr="00000000">
          <w:rPr>
            <w:rFonts w:ascii="Times New Roman" w:cs="Times New Roman" w:eastAsia="Times New Roman" w:hAnsi="Times New Roman"/>
            <w:sz w:val="24"/>
            <w:szCs w:val="24"/>
            <w:rtl w:val="0"/>
          </w:rPr>
          <w:t xml:space="preserve">Shen và cộng sự (2024)</w:t>
        </w:r>
      </w:hyperlink>
      <w:r w:rsidDel="00000000" w:rsidR="00000000" w:rsidRPr="00000000">
        <w:rPr>
          <w:rFonts w:ascii="Times New Roman" w:cs="Times New Roman" w:eastAsia="Times New Roman" w:hAnsi="Times New Roman"/>
          <w:sz w:val="24"/>
          <w:szCs w:val="24"/>
          <w:rtl w:val="0"/>
        </w:rPr>
        <w:t xml:space="preserve">, nghiên cứu xây dựng chỉ số nhạy cảm (SEN) từ bốn nhóm thành phần chính, bao gồm mức độ sử dụng năng lượng, mức sống, bất bình đẳng thu nhập và đặc điểm nhân khẩu học dễ bị tổn thương. Trên cơ sở các biến đại diện cho từng nhóm, phương pháp Phân tích Thành phần Chính (PCA) được áp dụng nhằm rút gọn dữ liệu đa chiều và xây dựng chỉ số SEN tổng hợp, qua đó giữ lại phần biến thiên quan trọng nhất của tập dữ liệu và hạn chế trùng lặp thông tin (</w:t>
      </w:r>
      <w:hyperlink r:id="rId72">
        <w:r w:rsidDel="00000000" w:rsidR="00000000" w:rsidRPr="00000000">
          <w:rPr>
            <w:rFonts w:ascii="Times New Roman" w:cs="Times New Roman" w:eastAsia="Times New Roman" w:hAnsi="Times New Roman"/>
            <w:sz w:val="24"/>
            <w:szCs w:val="24"/>
            <w:rtl w:val="0"/>
          </w:rPr>
          <w:t xml:space="preserve">Jolliffe &amp; Cadima, 2016</w:t>
        </w:r>
      </w:hyperlink>
      <w:r w:rsidDel="00000000" w:rsidR="00000000" w:rsidRPr="00000000">
        <w:rPr>
          <w:rFonts w:ascii="Times New Roman" w:cs="Times New Roman" w:eastAsia="Times New Roman" w:hAnsi="Times New Roman"/>
          <w:sz w:val="24"/>
          <w:szCs w:val="24"/>
          <w:rtl w:val="0"/>
        </w:rPr>
        <w:t xml:space="preserve">). Các giá trị thiếu được xử lý bằng cách thay thế bằng trung bình của các năm liền kề để đảm bảo tính liên tục của chuỗi dữ liệu. Toàn bộ quy trình PCA được thực hiện trên phần mềm Stata 17, và danh mục chi tiết chỉ số thành phần cùng nguồn dữ liệu được trình bày trong Bảng 3.2.</w:t>
      </w:r>
    </w:p>
    <w:p w:rsidR="00000000" w:rsidDel="00000000" w:rsidP="00000000" w:rsidRDefault="00000000" w:rsidRPr="00000000" w14:paraId="0000006A">
      <w:pPr>
        <w:spacing w:line="240" w:lineRule="auto"/>
        <w:ind w:right="600" w:firstLine="7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3.2. Các nhóm yếu tố cấu thành chỉ số độ nhạy quốc gia (SEN)</w:t>
      </w:r>
    </w:p>
    <w:tbl>
      <w:tblPr>
        <w:tblStyle w:val="Table3"/>
        <w:tblpPr w:leftFromText="180" w:rightFromText="180" w:topFromText="180" w:bottomFromText="180" w:vertAnchor="text" w:horzAnchor="text" w:tblpX="0" w:tblpY="0"/>
        <w:tblW w:w="91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5400"/>
        <w:gridCol w:w="1665"/>
        <w:tblGridChange w:id="0">
          <w:tblGrid>
            <w:gridCol w:w="2070"/>
            <w:gridCol w:w="5400"/>
            <w:gridCol w:w="1665"/>
          </w:tblGrid>
        </w:tblGridChange>
      </w:tblGrid>
      <w:tr>
        <w:trPr>
          <w:cantSplit w:val="0"/>
          <w:trHeight w:val="701" w:hRule="atLeast"/>
          <w:tblHeader w:val="1"/>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Nhóm chỉ số</w:t>
            </w:r>
          </w:p>
        </w:tc>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Chỉ số thành phần</w:t>
            </w:r>
          </w:p>
        </w:tc>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Nguồn dữ liệu</w:t>
            </w:r>
          </w:p>
        </w:tc>
      </w:tr>
      <w:tr>
        <w:trPr>
          <w:cantSplit w:val="0"/>
          <w:trHeight w:val="440" w:hRule="atLeast"/>
          <w:tblHeader w:val="0"/>
        </w:trPr>
        <w:tc>
          <w:tcPr>
            <w:vMerge w:val="restart"/>
            <w:tcBorders>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6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Mức độ sử dụng năng lượng</w:t>
            </w:r>
          </w:p>
          <w:p w:rsidR="00000000" w:rsidDel="00000000" w:rsidP="00000000" w:rsidRDefault="00000000" w:rsidRPr="00000000" w14:paraId="000000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(Energy use)</w:t>
            </w:r>
          </w:p>
        </w:tc>
        <w:tc>
          <w:tcPr>
            <w:tcBorders>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Năng lượng tiêu thụ bình quân đầu người (Energy use, kg of oil equivalent per capita)</w:t>
            </w:r>
          </w:p>
        </w:tc>
        <w:tc>
          <w:tcPr>
            <w:tcBorders>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1">
            <w:pPr>
              <w:spacing w:line="240" w:lineRule="auto"/>
              <w:jc w:val="center"/>
              <w:rPr>
                <w:rFonts w:ascii="Times New Roman" w:cs="Times New Roman" w:eastAsia="Times New Roman" w:hAnsi="Times New Roman"/>
                <w:sz w:val="24"/>
                <w:szCs w:val="24"/>
              </w:rPr>
            </w:pPr>
            <w:hyperlink r:id="rId73">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440" w:hRule="atLeast"/>
          <w:tblHeader w:val="0"/>
        </w:trPr>
        <w:tc>
          <w:tcPr>
            <w:vMerge w:val="continue"/>
            <w:tcBorders>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Cường độ sử dụng năng lượng (Energy intensity level of primary energy, MJ/$2021 PPP GDP)</w:t>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4">
            <w:pPr>
              <w:spacing w:line="240" w:lineRule="auto"/>
              <w:jc w:val="center"/>
              <w:rPr>
                <w:rFonts w:ascii="Times New Roman" w:cs="Times New Roman" w:eastAsia="Times New Roman" w:hAnsi="Times New Roman"/>
                <w:sz w:val="24"/>
                <w:szCs w:val="24"/>
              </w:rPr>
            </w:pPr>
            <w:hyperlink r:id="rId74">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296" w:hRule="atLeast"/>
          <w:tblHeader w:val="0"/>
        </w:trPr>
        <w:tc>
          <w:tcPr>
            <w:tcBorders>
              <w:top w:color="000000" w:space="0" w:sz="4" w:val="single"/>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Mức sống / Phúc lợi kinh tế</w:t>
            </w:r>
          </w:p>
          <w:p w:rsidR="00000000" w:rsidDel="00000000" w:rsidP="00000000" w:rsidRDefault="00000000" w:rsidRPr="00000000" w14:paraId="000000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(Wealth)</w:t>
            </w:r>
          </w:p>
        </w:tc>
        <w:tc>
          <w:tcPr>
            <w:tcBorders>
              <w:top w:color="000000" w:space="0" w:sz="4" w:val="single"/>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nghèo đói (Poverty headcount ratio at national poverty lines, % of population)</w:t>
            </w:r>
          </w:p>
        </w:tc>
        <w:tc>
          <w:tcPr>
            <w:tcBorders>
              <w:top w:color="000000" w:space="0" w:sz="4" w:val="single"/>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8">
            <w:pPr>
              <w:spacing w:line="240" w:lineRule="auto"/>
              <w:jc w:val="center"/>
              <w:rPr>
                <w:rFonts w:ascii="Times New Roman" w:cs="Times New Roman" w:eastAsia="Times New Roman" w:hAnsi="Times New Roman"/>
                <w:sz w:val="24"/>
                <w:szCs w:val="24"/>
              </w:rPr>
            </w:pPr>
            <w:hyperlink r:id="rId75">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296" w:hRule="atLeast"/>
          <w:tblHeader w:val="0"/>
        </w:trPr>
        <w:tc>
          <w:tcPr>
            <w:vMerge w:val="restart"/>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Bất bình đẳng thu nhập</w:t>
            </w:r>
          </w:p>
          <w:p w:rsidR="00000000" w:rsidDel="00000000" w:rsidP="00000000" w:rsidRDefault="00000000" w:rsidRPr="00000000" w14:paraId="0000007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(Inequality)</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Hệ số bất bình đẳng thu nhập (Gini index)</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C">
            <w:pPr>
              <w:spacing w:line="240" w:lineRule="auto"/>
              <w:jc w:val="center"/>
              <w:rPr>
                <w:rFonts w:ascii="Times New Roman" w:cs="Times New Roman" w:eastAsia="Times New Roman" w:hAnsi="Times New Roman"/>
                <w:sz w:val="24"/>
                <w:szCs w:val="24"/>
              </w:rPr>
            </w:pPr>
            <w:hyperlink r:id="rId76">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296" w:hRule="atLeast"/>
          <w:tblHeader w:val="0"/>
        </w:trPr>
        <w:tc>
          <w:tcPr>
            <w:vMerge w:val="continue"/>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phần thu nhập của 20% dân số nghèo nhất (Income share held by lowest 20%)</w:t>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7F">
            <w:pPr>
              <w:spacing w:line="240" w:lineRule="auto"/>
              <w:jc w:val="center"/>
              <w:rPr>
                <w:rFonts w:ascii="Times New Roman" w:cs="Times New Roman" w:eastAsia="Times New Roman" w:hAnsi="Times New Roman"/>
                <w:sz w:val="24"/>
                <w:szCs w:val="24"/>
              </w:rPr>
            </w:pPr>
            <w:hyperlink r:id="rId77">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296" w:hRule="atLeast"/>
          <w:tblHeader w:val="0"/>
        </w:trPr>
        <w:tc>
          <w:tcPr>
            <w:vMerge w:val="restart"/>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Nhân khẩu học dễ bị tổn thương</w:t>
            </w:r>
          </w:p>
          <w:p w:rsidR="00000000" w:rsidDel="00000000" w:rsidP="00000000" w:rsidRDefault="00000000" w:rsidRPr="00000000" w14:paraId="0000008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(Susceptible demographics)</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thất nghiệp (Unemployment, total % of total labor force)</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3">
            <w:pPr>
              <w:spacing w:line="240" w:lineRule="auto"/>
              <w:jc w:val="center"/>
              <w:rPr>
                <w:rFonts w:ascii="Times New Roman" w:cs="Times New Roman" w:eastAsia="Times New Roman" w:hAnsi="Times New Roman"/>
                <w:sz w:val="24"/>
                <w:szCs w:val="24"/>
              </w:rPr>
            </w:pPr>
            <w:hyperlink r:id="rId78">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296" w:hRule="atLeast"/>
          <w:tblHeader w:val="0"/>
        </w:trPr>
        <w:tc>
          <w:tcPr>
            <w:vMerge w:val="continue"/>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phụ thuộc dân số (Age dependency ratio, % of working-age population)</w:t>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86">
            <w:pPr>
              <w:spacing w:line="240" w:lineRule="auto"/>
              <w:jc w:val="center"/>
              <w:rPr>
                <w:rFonts w:ascii="Times New Roman" w:cs="Times New Roman" w:eastAsia="Times New Roman" w:hAnsi="Times New Roman"/>
                <w:sz w:val="24"/>
                <w:szCs w:val="24"/>
              </w:rPr>
            </w:pPr>
            <w:hyperlink r:id="rId79">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bl>
    <w:p w:rsidR="00000000" w:rsidDel="00000000" w:rsidP="00000000" w:rsidRDefault="00000000" w:rsidRPr="00000000" w14:paraId="0000008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w:t>
      </w:r>
      <w:r w:rsidDel="00000000" w:rsidR="00000000" w:rsidRPr="00000000">
        <w:rPr>
          <w:rFonts w:ascii="Times New Roman" w:cs="Times New Roman" w:eastAsia="Times New Roman" w:hAnsi="Times New Roman"/>
          <w:i w:val="1"/>
          <w:iCs w:val="1"/>
          <w:sz w:val="24"/>
          <w:szCs w:val="24"/>
          <w:rtl w:val="0"/>
        </w:rPr>
        <w:t xml:space="preserve"> Tổng hợp từ nhóm tác giả (2026)</w:t>
      </w:r>
      <w:r w:rsidDel="00000000" w:rsidR="00000000" w:rsidRPr="00000000">
        <w:rPr>
          <w:rtl w:val="0"/>
        </w:rPr>
      </w:r>
    </w:p>
    <w:p w:rsidR="00000000" w:rsidDel="00000000" w:rsidP="00000000" w:rsidRDefault="00000000" w:rsidRPr="00000000" w14:paraId="00000088">
      <w:pPr>
        <w:spacing w:line="240" w:lineRule="auto"/>
        <w:ind w:right="-4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Phân tích thành phần chính được thực hiện trên bộ dữ liệu được chuẩn hóa nhằm loại bỏ sự khác biệt đơn vị đo lường giữa các chỉ số, đảm bảo tính đồng nhất và khả năng so sánh trong toàn bộ mẫu nghiên cứu. Việc lựa chọn các thành phần chính được dựa trên tiêu chí giá trị riêng lớn nhất, đồng thời yêu cầu tỷ lệ phương sai tích lũy đạt tối thiểu 70% nhằm bảo đảm chỉ số tổng hợp thu được phản ánh phần lớn thông tin của tập dữ liệu ban đầu. </w:t>
      </w:r>
    </w:p>
    <w:p w:rsidR="00000000" w:rsidDel="00000000" w:rsidP="00000000" w:rsidRDefault="00000000" w:rsidRPr="00000000" w14:paraId="00000089">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Kết quả nghiên cứu và thảo luận</w:t>
      </w:r>
    </w:p>
    <w:p w:rsidR="00000000" w:rsidDel="00000000" w:rsidP="00000000" w:rsidRDefault="00000000" w:rsidRPr="00000000" w14:paraId="0000008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4.1. Nguồn và thống kê mô tả các biến trong mô hình hồi quy </w:t>
      </w:r>
    </w:p>
    <w:tbl>
      <w:tblPr>
        <w:tblStyle w:val="Table4"/>
        <w:tblW w:w="11685.0" w:type="dxa"/>
        <w:jc w:val="left"/>
        <w:tblInd w:w="-1281.0" w:type="dxa"/>
        <w:tblBorders>
          <w:top w:color="000000" w:space="0" w:sz="4" w:val="single"/>
        </w:tblBorders>
        <w:tblLayout w:type="fixed"/>
        <w:tblLook w:val="0400"/>
      </w:tblPr>
      <w:tblGrid>
        <w:gridCol w:w="871"/>
        <w:gridCol w:w="1560"/>
        <w:gridCol w:w="1380"/>
        <w:gridCol w:w="1164"/>
        <w:gridCol w:w="905"/>
        <w:gridCol w:w="1185"/>
        <w:gridCol w:w="1005"/>
        <w:gridCol w:w="1170"/>
        <w:gridCol w:w="1020"/>
        <w:gridCol w:w="1425"/>
        <w:tblGridChange w:id="0">
          <w:tblGrid>
            <w:gridCol w:w="871"/>
            <w:gridCol w:w="1560"/>
            <w:gridCol w:w="1380"/>
            <w:gridCol w:w="1164"/>
            <w:gridCol w:w="905"/>
            <w:gridCol w:w="1185"/>
            <w:gridCol w:w="1005"/>
            <w:gridCol w:w="1170"/>
            <w:gridCol w:w="1020"/>
            <w:gridCol w:w="1425"/>
          </w:tblGrid>
        </w:tblGridChange>
      </w:tblGrid>
      <w:tr>
        <w:trPr>
          <w:cantSplit w:val="0"/>
          <w:trHeight w:val="290" w:hRule="atLeast"/>
          <w:tblHeader w:val="1"/>
        </w:trPr>
        <w:tc>
          <w:tcPr>
            <w:gridSpan w:val="2"/>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8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8D">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8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8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quan sát</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9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trung bình</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9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 lệch chuẩn</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9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nhỏ nhất</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9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lớn nhất</w:t>
            </w:r>
          </w:p>
        </w:tc>
        <w:tc>
          <w:tcPr>
            <w:tcBorders>
              <w:top w:color="000000" w:space="0" w:sz="4" w:val="single"/>
              <w:bottom w:color="000000" w:space="0" w:sz="4" w:val="single"/>
            </w:tcBorders>
            <w:tcMar>
              <w:top w:w="28.0" w:type="dxa"/>
              <w:left w:w="28.0" w:type="dxa"/>
              <w:bottom w:w="28.0" w:type="dxa"/>
              <w:right w:w="28.0" w:type="dxa"/>
            </w:tcMar>
            <w:vAlign w:val="center"/>
          </w:tcPr>
          <w:p w:rsidR="00000000" w:rsidDel="00000000" w:rsidP="00000000" w:rsidRDefault="00000000" w:rsidRPr="00000000" w14:paraId="0000009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Nguồn</w:t>
            </w:r>
          </w:p>
        </w:tc>
      </w:tr>
      <w:tr>
        <w:trPr>
          <w:cantSplit w:val="0"/>
          <w:trHeight w:val="479" w:hRule="atLeast"/>
          <w:tblHeader w:val="0"/>
        </w:trPr>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lnE/I</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Cán cân thương mại</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Xuất khẩu</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1575</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-0.18210</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0.591568</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-3.150158</w:t>
            </w:r>
          </w:p>
        </w:tc>
        <w:tc>
          <w:tcPr>
            <w:vMerge w:val="restart"/>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1.103013</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E">
            <w:pPr>
              <w:spacing w:line="240" w:lineRule="auto"/>
              <w:jc w:val="center"/>
              <w:rPr>
                <w:rFonts w:ascii="Times New Roman" w:cs="Times New Roman" w:eastAsia="Times New Roman" w:hAnsi="Times New Roman"/>
                <w:sz w:val="24"/>
                <w:szCs w:val="24"/>
              </w:rPr>
            </w:pPr>
            <w:hyperlink r:id="rId80">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324" w:hRule="atLeast"/>
          <w:tblHeader w:val="0"/>
        </w:trPr>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Nhập khẩu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8">
            <w:pPr>
              <w:spacing w:line="240" w:lineRule="auto"/>
              <w:jc w:val="center"/>
              <w:rPr>
                <w:rFonts w:ascii="Times New Roman" w:cs="Times New Roman" w:eastAsia="Times New Roman" w:hAnsi="Times New Roman"/>
                <w:sz w:val="24"/>
                <w:szCs w:val="24"/>
              </w:rPr>
            </w:pPr>
            <w:hyperlink r:id="rId81">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334"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Biến động giá dầu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USD/thùng</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1575</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51.1112</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A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28.19478</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14.36787</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99.56491</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2">
            <w:pPr>
              <w:spacing w:line="240" w:lineRule="auto"/>
              <w:jc w:val="center"/>
              <w:rPr>
                <w:rFonts w:ascii="Times New Roman" w:cs="Times New Roman" w:eastAsia="Times New Roman" w:hAnsi="Times New Roman"/>
                <w:sz w:val="24"/>
                <w:szCs w:val="24"/>
              </w:rPr>
            </w:pPr>
            <w:hyperlink r:id="rId82">
              <w:r w:rsidDel="00000000" w:rsidR="00000000" w:rsidRPr="00000000">
                <w:rPr>
                  <w:rFonts w:ascii="Times New Roman" w:cs="Times New Roman" w:eastAsia="Times New Roman" w:hAnsi="Times New Roman"/>
                  <w:sz w:val="24"/>
                  <w:szCs w:val="24"/>
                  <w:rtl w:val="0"/>
                </w:rPr>
                <w:t xml:space="preserve">Fred St. Louis</w:t>
              </w:r>
            </w:hyperlink>
            <w:r w:rsidDel="00000000" w:rsidR="00000000" w:rsidRPr="00000000">
              <w:rPr>
                <w:rtl w:val="0"/>
              </w:rPr>
            </w:r>
          </w:p>
        </w:tc>
      </w:tr>
      <w:tr>
        <w:trPr>
          <w:cantSplit w:val="0"/>
          <w:trHeight w:val="400"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lnGDP</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sản phẩm quốc nội</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 ($)</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1575</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24.48937</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2.200659</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18.66918</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30.56188</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C">
            <w:pPr>
              <w:spacing w:line="240" w:lineRule="auto"/>
              <w:jc w:val="center"/>
              <w:rPr>
                <w:rFonts w:ascii="Times New Roman" w:cs="Times New Roman" w:eastAsia="Times New Roman" w:hAnsi="Times New Roman"/>
                <w:sz w:val="24"/>
                <w:szCs w:val="24"/>
              </w:rPr>
            </w:pPr>
            <w:hyperlink r:id="rId83">
              <w:r w:rsidDel="00000000" w:rsidR="00000000" w:rsidRPr="00000000">
                <w:rPr>
                  <w:rFonts w:ascii="Times New Roman" w:cs="Times New Roman" w:eastAsia="Times New Roman" w:hAnsi="Times New Roman"/>
                  <w:sz w:val="24"/>
                  <w:szCs w:val="24"/>
                  <w:rtl w:val="0"/>
                </w:rPr>
                <w:t xml:space="preserve">WDI</w:t>
              </w:r>
            </w:hyperlink>
            <w:r w:rsidDel="00000000" w:rsidR="00000000" w:rsidRPr="00000000">
              <w:rPr>
                <w:rtl w:val="0"/>
              </w:rPr>
            </w:r>
          </w:p>
        </w:tc>
      </w:tr>
      <w:tr>
        <w:trPr>
          <w:cantSplit w:val="0"/>
          <w:trHeight w:val="400"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lnREER</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B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giá hối đoái thực hiệu quả</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1505</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4.63415</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0.496169</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-0.967584</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25.00583</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6">
            <w:pPr>
              <w:spacing w:line="240" w:lineRule="auto"/>
              <w:jc w:val="center"/>
              <w:rPr>
                <w:rFonts w:ascii="Times New Roman" w:cs="Times New Roman" w:eastAsia="Times New Roman" w:hAnsi="Times New Roman"/>
                <w:sz w:val="24"/>
                <w:szCs w:val="24"/>
              </w:rPr>
            </w:pPr>
            <w:hyperlink r:id="rId84">
              <w:r w:rsidDel="00000000" w:rsidR="00000000" w:rsidRPr="00000000">
                <w:rPr>
                  <w:rFonts w:ascii="Times New Roman" w:cs="Times New Roman" w:eastAsia="Times New Roman" w:hAnsi="Times New Roman"/>
                  <w:sz w:val="24"/>
                  <w:szCs w:val="24"/>
                  <w:rtl w:val="0"/>
                </w:rPr>
                <w:t xml:space="preserve">Bruegel</w:t>
              </w:r>
            </w:hyperlink>
            <w:r w:rsidDel="00000000" w:rsidR="00000000" w:rsidRPr="00000000">
              <w:rPr>
                <w:rFonts w:ascii="Times New Roman" w:cs="Times New Roman" w:eastAsia="Times New Roman" w:hAnsi="Times New Roman"/>
                <w:sz w:val="24"/>
                <w:szCs w:val="24"/>
                <w:rtl w:val="0"/>
              </w:rPr>
              <w:t xml:space="preserve"> </w:t>
            </w:r>
          </w:p>
        </w:tc>
      </w:tr>
      <w:tr>
        <w:trPr>
          <w:cantSplit w:val="0"/>
          <w:trHeight w:val="400" w:hRule="atLeast"/>
          <w:tblHeader w:val="0"/>
        </w:trPr>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gridSpan w:val="2"/>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Bất định chính sách toàn cầu</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1575</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47.61728</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34.43269</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23.57353</w:t>
            </w:r>
          </w:p>
        </w:tc>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C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169.407</w:t>
            </w:r>
          </w:p>
        </w:tc>
        <w:tc>
          <w:tcPr>
            <w:tcBorders>
              <w:top w:color="000000" w:space="0" w:sz="0" w:val="nil"/>
              <w:left w:color="000000" w:space="0" w:sz="0" w:val="nil"/>
              <w:right w:color="000000" w:space="0" w:sz="0" w:val="nil"/>
            </w:tcBorders>
            <w:tcMar>
              <w:top w:w="28.0" w:type="dxa"/>
              <w:left w:w="28.0" w:type="dxa"/>
              <w:bottom w:w="28.0" w:type="dxa"/>
              <w:right w:w="28.0" w:type="dxa"/>
            </w:tcMar>
          </w:tcPr>
          <w:p w:rsidR="00000000" w:rsidDel="00000000" w:rsidP="00000000" w:rsidRDefault="00000000" w:rsidRPr="00000000" w14:paraId="000000D0">
            <w:pPr>
              <w:spacing w:line="240" w:lineRule="auto"/>
              <w:jc w:val="center"/>
              <w:rPr>
                <w:rFonts w:ascii="Times New Roman" w:cs="Times New Roman" w:eastAsia="Times New Roman" w:hAnsi="Times New Roman"/>
                <w:sz w:val="24"/>
                <w:szCs w:val="24"/>
              </w:rPr>
            </w:pPr>
            <w:hyperlink r:id="rId85">
              <w:r w:rsidDel="00000000" w:rsidR="00000000" w:rsidRPr="00000000">
                <w:rPr>
                  <w:rFonts w:ascii="Times New Roman" w:cs="Times New Roman" w:eastAsia="Times New Roman" w:hAnsi="Times New Roman"/>
                  <w:sz w:val="24"/>
                  <w:szCs w:val="24"/>
                  <w:rtl w:val="0"/>
                </w:rPr>
                <w:t xml:space="preserve">Caldara và cộng sự</w:t>
              </w:r>
            </w:hyperlink>
            <w:r w:rsidDel="00000000" w:rsidR="00000000" w:rsidRPr="00000000">
              <w:rPr>
                <w:rtl w:val="0"/>
              </w:rPr>
            </w:r>
          </w:p>
        </w:tc>
      </w:tr>
      <w:tr>
        <w:trPr>
          <w:cantSplit w:val="0"/>
          <w:trHeight w:val="435" w:hRule="atLeast"/>
          <w:tblHeader w:val="0"/>
        </w:trPr>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gridSpan w:val="2"/>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 nhạy quốc gia</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1,435 </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37.99555</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11.57832</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11.18448</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68.00122</w:t>
            </w:r>
          </w:p>
        </w:tc>
        <w:tc>
          <w:tcPr>
            <w:tcBorders>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0D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WDI</w:t>
            </w:r>
          </w:p>
        </w:tc>
      </w:tr>
    </w:tbl>
    <w:p w:rsidR="00000000" w:rsidDel="00000000" w:rsidP="00000000" w:rsidRDefault="00000000" w:rsidRPr="00000000" w14:paraId="000000DB">
      <w:pPr>
        <w:spacing w:line="240"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 </w:t>
      </w:r>
      <w:r w:rsidDel="00000000" w:rsidR="00000000" w:rsidRPr="00000000">
        <w:rPr>
          <w:rFonts w:ascii="Times New Roman" w:cs="Times New Roman" w:eastAsia="Times New Roman" w:hAnsi="Times New Roman"/>
          <w:i w:val="1"/>
          <w:iCs w:val="1"/>
          <w:sz w:val="24"/>
          <w:szCs w:val="24"/>
          <w:rtl w:val="0"/>
        </w:rPr>
        <w:t xml:space="preserve">Kết quả phân tích từ phần mềm Stata 17 của nhóm tác giả (2025)</w:t>
      </w:r>
    </w:p>
    <w:p w:rsidR="00000000" w:rsidDel="00000000" w:rsidP="00000000" w:rsidRDefault="00000000" w:rsidRPr="00000000" w14:paraId="000000D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Về mức độ phân hóa dữ liệu, các biến trong mô hình thể hiện độ biến động tương đối lớn giữa các quốc gia và theo thời gian. Biến cán cân thương mại (lnE/I) có độ lệch chuẩn 0,59, phản ánh sự dao động đáng kể giữa trạng thái thặng dư và thâm hụt thương mại trong khu vực. Biến giá dầu (OP) có độ lệch chuẩn 28,19 USD/thùng, cho thấy mức biến động mạnh của thị trường năng lượng toàn cầu trong giai đoạn nghiên cứu. Quy mô nền kinh tế (lnGDP) có độ lệch chuẩn 2,20, hàm ý sự khác biệt đáng kể về trình độ phát triển giữa các quốc gia châu Á. Bên cạnh đó, mức độ bất định chính sách thương mại (TPU) có độ lệch chuẩn lên tới 34,43, phản ánh sự không đồng đều về môi trường chính sách giữa các nền kinh tế. Chỉ số độ nhạy quốc gia (SEN) với độ lệch chuẩn 11,58 cho thấy khả năng chống chịu trước các cú sốc bên ngoài có sự phân hóa rõ rệt trong khu vực.</w:t>
      </w:r>
    </w:p>
    <w:p w:rsidR="00000000" w:rsidDel="00000000" w:rsidP="00000000" w:rsidRDefault="00000000" w:rsidRPr="00000000" w14:paraId="000000D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Nhìn chung, độ phân tán của các biến là đủ lớn để phản ánh dị biệt cấu trúc giữa các quốc gia, tạo cơ sở phù hợp cho việc ước lượng mô hình hồi quy bảng trong nghiên cứu.</w:t>
      </w:r>
    </w:p>
    <w:p w:rsidR="00000000" w:rsidDel="00000000" w:rsidP="00000000" w:rsidRDefault="00000000" w:rsidRPr="00000000" w14:paraId="000000D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4.2. Ma trận hệ số tương quan và Hệ số VIF</w:t>
      </w:r>
    </w:p>
    <w:tbl>
      <w:tblPr>
        <w:tblStyle w:val="Table5"/>
        <w:tblW w:w="9765.0" w:type="dxa"/>
        <w:jc w:val="center"/>
        <w:tblLayout w:type="fixed"/>
        <w:tblLook w:val="0400"/>
      </w:tblPr>
      <w:tblGrid>
        <w:gridCol w:w="1455"/>
        <w:gridCol w:w="945"/>
        <w:gridCol w:w="930"/>
        <w:gridCol w:w="1155"/>
        <w:gridCol w:w="1020"/>
        <w:gridCol w:w="1110"/>
        <w:gridCol w:w="1110"/>
        <w:gridCol w:w="675"/>
        <w:gridCol w:w="1365"/>
        <w:tblGridChange w:id="0">
          <w:tblGrid>
            <w:gridCol w:w="1455"/>
            <w:gridCol w:w="945"/>
            <w:gridCol w:w="930"/>
            <w:gridCol w:w="1155"/>
            <w:gridCol w:w="1020"/>
            <w:gridCol w:w="1110"/>
            <w:gridCol w:w="1110"/>
            <w:gridCol w:w="675"/>
            <w:gridCol w:w="1365"/>
          </w:tblGrid>
        </w:tblGridChange>
      </w:tblGrid>
      <w:tr>
        <w:trPr>
          <w:cantSplit w:val="1"/>
          <w:trHeight w:val="615" w:hRule="atLeast"/>
          <w:tblHeader w:val="1"/>
        </w:trPr>
        <w:tc>
          <w:tcPr>
            <w:tcBorders>
              <w:top w:color="000000" w:space="0" w:sz="4" w:val="single"/>
              <w:bottom w:color="000000" w:space="0" w:sz="4" w:val="single"/>
            </w:tcBorders>
            <w:vAlign w:val="center"/>
          </w:tcPr>
          <w:p w:rsidR="00000000" w:rsidDel="00000000" w:rsidP="00000000" w:rsidRDefault="00000000" w:rsidRPr="00000000" w14:paraId="000000D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p>
        </w:tc>
        <w:tc>
          <w:tcPr>
            <w:tcBorders>
              <w:top w:color="000000" w:space="0" w:sz="4" w:val="single"/>
              <w:bottom w:color="808080" w:space="0" w:sz="4" w:val="single"/>
            </w:tcBorders>
            <w:vAlign w:val="center"/>
          </w:tcPr>
          <w:p w:rsidR="00000000" w:rsidDel="00000000" w:rsidP="00000000" w:rsidRDefault="00000000" w:rsidRPr="00000000" w14:paraId="000000E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lnE/I</w:t>
            </w:r>
          </w:p>
        </w:tc>
        <w:tc>
          <w:tcPr>
            <w:tcBorders>
              <w:top w:color="000000" w:space="0" w:sz="4" w:val="single"/>
              <w:bottom w:color="000000" w:space="0" w:sz="4" w:val="single"/>
            </w:tcBorders>
            <w:vAlign w:val="center"/>
          </w:tcPr>
          <w:p w:rsidR="00000000" w:rsidDel="00000000" w:rsidP="00000000" w:rsidRDefault="00000000" w:rsidRPr="00000000" w14:paraId="000000E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w:t>
            </w:r>
          </w:p>
        </w:tc>
        <w:tc>
          <w:tcPr>
            <w:tcBorders>
              <w:top w:color="000000" w:space="0" w:sz="4" w:val="single"/>
              <w:bottom w:color="000000" w:space="0" w:sz="4" w:val="single"/>
            </w:tcBorders>
            <w:vAlign w:val="center"/>
          </w:tcPr>
          <w:p w:rsidR="00000000" w:rsidDel="00000000" w:rsidP="00000000" w:rsidRDefault="00000000" w:rsidRPr="00000000" w14:paraId="000000E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lnGDP</w:t>
            </w:r>
          </w:p>
        </w:tc>
        <w:tc>
          <w:tcPr>
            <w:tcBorders>
              <w:top w:color="000000" w:space="0" w:sz="4" w:val="single"/>
              <w:bottom w:color="000000" w:space="0" w:sz="4" w:val="single"/>
            </w:tcBorders>
            <w:vAlign w:val="center"/>
          </w:tcPr>
          <w:p w:rsidR="00000000" w:rsidDel="00000000" w:rsidP="00000000" w:rsidRDefault="00000000" w:rsidRPr="00000000" w14:paraId="000000E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lnREER</w:t>
            </w:r>
          </w:p>
        </w:tc>
        <w:tc>
          <w:tcPr>
            <w:tcBorders>
              <w:top w:color="000000" w:space="0" w:sz="4" w:val="single"/>
              <w:bottom w:color="000000" w:space="0" w:sz="4" w:val="single"/>
            </w:tcBorders>
            <w:vAlign w:val="center"/>
          </w:tcPr>
          <w:p w:rsidR="00000000" w:rsidDel="00000000" w:rsidP="00000000" w:rsidRDefault="00000000" w:rsidRPr="00000000" w14:paraId="000000E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TPU</w:t>
            </w:r>
          </w:p>
        </w:tc>
        <w:tc>
          <w:tcPr>
            <w:tcBorders>
              <w:top w:color="000000" w:space="0" w:sz="4" w:val="single"/>
              <w:bottom w:color="000000" w:space="0" w:sz="4" w:val="single"/>
            </w:tcBorders>
            <w:vAlign w:val="center"/>
          </w:tcPr>
          <w:p w:rsidR="00000000" w:rsidDel="00000000" w:rsidP="00000000" w:rsidRDefault="00000000" w:rsidRPr="00000000" w14:paraId="000000E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SEN</w:t>
            </w:r>
          </w:p>
        </w:tc>
        <w:tc>
          <w:tcPr>
            <w:tcBorders>
              <w:top w:color="000000" w:space="0" w:sz="4" w:val="single"/>
              <w:bottom w:color="000000" w:space="0" w:sz="4" w:val="single"/>
            </w:tcBorders>
            <w:vAlign w:val="center"/>
          </w:tcPr>
          <w:p w:rsidR="00000000" w:rsidDel="00000000" w:rsidP="00000000" w:rsidRDefault="00000000" w:rsidRPr="00000000" w14:paraId="000000E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VIF</w:t>
            </w:r>
          </w:p>
        </w:tc>
        <w:tc>
          <w:tcPr>
            <w:tcBorders>
              <w:top w:color="000000" w:space="0" w:sz="4" w:val="single"/>
              <w:bottom w:color="000000" w:space="0" w:sz="4" w:val="single"/>
            </w:tcBorders>
            <w:vAlign w:val="center"/>
          </w:tcPr>
          <w:p w:rsidR="00000000" w:rsidDel="00000000" w:rsidP="00000000" w:rsidRDefault="00000000" w:rsidRPr="00000000" w14:paraId="000000E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1/VIF</w:t>
            </w:r>
          </w:p>
        </w:tc>
      </w:tr>
      <w:tr>
        <w:trPr>
          <w:cantSplit w:val="1"/>
          <w:trHeight w:val="328" w:hRule="atLeast"/>
          <w:tblHeader w:val="0"/>
        </w:trPr>
        <w:tc>
          <w:tcPr>
            <w:tcBorders>
              <w:top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E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lnE/I</w:t>
            </w:r>
          </w:p>
        </w:tc>
        <w:tc>
          <w:tcPr>
            <w:tcBorders>
              <w:top w:color="808080" w:space="0" w:sz="4" w:val="single"/>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E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top w:color="000000" w:space="0" w:sz="4" w:val="single"/>
              <w:left w:color="000000" w:space="0" w:sz="0" w:val="nil"/>
              <w:bottom w:color="000000" w:space="0" w:sz="0" w:val="nil"/>
            </w:tcBorders>
            <w:tcMar>
              <w:top w:w="20.0" w:type="dxa"/>
              <w:left w:w="20.0" w:type="dxa"/>
              <w:bottom w:w="20.0" w:type="dxa"/>
              <w:right w:w="20.0" w:type="dxa"/>
            </w:tcMar>
          </w:tcPr>
          <w:p w:rsidR="00000000" w:rsidDel="00000000" w:rsidP="00000000" w:rsidRDefault="00000000" w:rsidRPr="00000000" w14:paraId="000000E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E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E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E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E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E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0">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tcBorders>
              <w:right w:color="000000" w:space="0" w:sz="0" w:val="nil"/>
            </w:tcBorders>
            <w:tcMar>
              <w:top w:w="100.0" w:type="dxa"/>
              <w:left w:w="100.0" w:type="dxa"/>
              <w:bottom w:w="100.0" w:type="dxa"/>
              <w:right w:w="100.0" w:type="dxa"/>
            </w:tcMar>
          </w:tcPr>
          <w:p w:rsidR="00000000" w:rsidDel="00000000" w:rsidP="00000000" w:rsidRDefault="00000000" w:rsidRPr="00000000" w14:paraId="000000F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0.0437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F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left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0F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tcBorders>
              <w:top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0.780082</w:t>
            </w:r>
          </w:p>
        </w:tc>
      </w:tr>
      <w:tr>
        <w:trPr>
          <w:cantSplit w:val="1"/>
          <w:tblHeader w:val="0"/>
        </w:trPr>
        <w:tc>
          <w:tcPr>
            <w:tcBorders>
              <w:right w:color="000000" w:space="0" w:sz="0" w:val="nil"/>
            </w:tcBorders>
            <w:tcMar>
              <w:top w:w="100.0" w:type="dxa"/>
              <w:left w:w="100.0" w:type="dxa"/>
              <w:bottom w:w="100.0" w:type="dxa"/>
              <w:right w:w="100.0" w:type="dxa"/>
            </w:tcMar>
          </w:tcPr>
          <w:p w:rsidR="00000000" w:rsidDel="00000000" w:rsidP="00000000" w:rsidRDefault="00000000" w:rsidRPr="00000000" w14:paraId="000000F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lnGDP</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F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0.3819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0.3095</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0F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left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0F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w:t>
            </w:r>
          </w:p>
        </w:tc>
        <w:tc>
          <w:tcPr>
            <w:tcBorders>
              <w:top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0.780082</w:t>
            </w:r>
          </w:p>
        </w:tc>
      </w:tr>
      <w:tr>
        <w:trPr>
          <w:cantSplit w:val="1"/>
          <w:tblHeader w:val="0"/>
        </w:trPr>
        <w:tc>
          <w:tcPr>
            <w:tcBorders>
              <w:right w:color="000000" w:space="0" w:sz="0" w:val="nil"/>
            </w:tcBorders>
            <w:tcMar>
              <w:top w:w="100.0" w:type="dxa"/>
              <w:left w:w="100.0" w:type="dxa"/>
              <w:bottom w:w="100.0" w:type="dxa"/>
              <w:right w:w="100.0" w:type="dxa"/>
            </w:tcMar>
          </w:tcPr>
          <w:p w:rsidR="00000000" w:rsidDel="00000000" w:rsidP="00000000" w:rsidRDefault="00000000" w:rsidRPr="00000000" w14:paraId="000001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lnREER</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-0.0040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0.1605</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0.1688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left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0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tcBorders>
              <w:top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0.856462</w:t>
            </w:r>
          </w:p>
        </w:tc>
      </w:tr>
      <w:tr>
        <w:trPr>
          <w:cantSplit w:val="1"/>
          <w:tblHeader w:val="0"/>
        </w:trPr>
        <w:tc>
          <w:tcPr>
            <w:tcBorders>
              <w:right w:color="000000" w:space="0" w:sz="0" w:val="nil"/>
            </w:tcBorders>
            <w:tcMar>
              <w:top w:w="100.0" w:type="dxa"/>
              <w:left w:w="100.0" w:type="dxa"/>
              <w:bottom w:w="100.0" w:type="dxa"/>
              <w:right w:w="100.0" w:type="dxa"/>
            </w:tcMar>
          </w:tcPr>
          <w:p w:rsidR="00000000" w:rsidDel="00000000" w:rsidP="00000000" w:rsidRDefault="00000000" w:rsidRPr="00000000" w14:paraId="0000010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-0.0468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0.0716</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0.1489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0.0780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left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1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tcBorders>
              <w:top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0.947564</w:t>
            </w:r>
          </w:p>
        </w:tc>
      </w:tr>
      <w:tr>
        <w:trPr>
          <w:cantSplit w:val="1"/>
          <w:tblHeader w:val="0"/>
        </w:trPr>
        <w:tc>
          <w:tcPr>
            <w:tcBorders>
              <w:right w:color="000000" w:space="0" w:sz="0" w:val="nil"/>
            </w:tcBorders>
            <w:tcMar>
              <w:top w:w="100.0" w:type="dxa"/>
              <w:left w:w="100.0" w:type="dxa"/>
              <w:bottom w:w="100.0" w:type="dxa"/>
              <w:right w:w="100.0" w:type="dxa"/>
            </w:tcMar>
          </w:tcPr>
          <w:p w:rsidR="00000000" w:rsidDel="00000000" w:rsidP="00000000" w:rsidRDefault="00000000" w:rsidRPr="00000000" w14:paraId="000001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-0.2498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-0.2714</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-0.3882</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-0.0169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-0.1618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tcPr>
          <w:p w:rsidR="00000000" w:rsidDel="00000000" w:rsidP="00000000" w:rsidRDefault="00000000" w:rsidRPr="00000000" w14:paraId="0000011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left w:color="000000" w:space="0" w:sz="0" w:val="nil"/>
            </w:tcBorders>
            <w:tcMar>
              <w:top w:w="100.0" w:type="dxa"/>
              <w:left w:w="100.0" w:type="dxa"/>
              <w:bottom w:w="100.0" w:type="dxa"/>
              <w:right w:w="100.0" w:type="dxa"/>
            </w:tcMar>
          </w:tcPr>
          <w:p w:rsidR="00000000" w:rsidDel="00000000" w:rsidP="00000000" w:rsidRDefault="00000000" w:rsidRPr="00000000" w14:paraId="0000011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tcBorders>
              <w:top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0.961839</w:t>
            </w:r>
          </w:p>
        </w:tc>
      </w:tr>
      <w:tr>
        <w:trPr>
          <w:cantSplit w:val="1"/>
          <w:trHeight w:val="475" w:hRule="atLeast"/>
          <w:tblHeader w:val="0"/>
        </w:trPr>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11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t>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1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2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2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2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2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bottom w:color="000000" w:space="0" w:sz="4" w:val="single"/>
            </w:tcBorders>
            <w:tcMar>
              <w:top w:w="100.0" w:type="dxa"/>
              <w:left w:w="100.0" w:type="dxa"/>
              <w:bottom w:w="100.0" w:type="dxa"/>
              <w:right w:w="100.0" w:type="dxa"/>
            </w:tcMar>
          </w:tcPr>
          <w:p w:rsidR="00000000" w:rsidDel="00000000" w:rsidP="00000000" w:rsidRDefault="00000000" w:rsidRPr="00000000" w14:paraId="0000012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12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tcBorders>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6">
            <w:pPr>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27">
      <w:pPr>
        <w:spacing w:line="240"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 </w:t>
      </w:r>
      <w:r w:rsidDel="00000000" w:rsidR="00000000" w:rsidRPr="00000000">
        <w:rPr>
          <w:rFonts w:ascii="Times New Roman" w:cs="Times New Roman" w:eastAsia="Times New Roman" w:hAnsi="Times New Roman"/>
          <w:i w:val="1"/>
          <w:iCs w:val="1"/>
          <w:sz w:val="24"/>
          <w:szCs w:val="24"/>
          <w:rtl w:val="0"/>
        </w:rPr>
        <w:t xml:space="preserve">Kết quả phân tích từ phần mềm Stata 17 của nhóm tác giả (2025)</w:t>
      </w:r>
    </w:p>
    <w:p w:rsidR="00000000" w:rsidDel="00000000" w:rsidP="00000000" w:rsidRDefault="00000000" w:rsidRPr="00000000" w14:paraId="0000012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Kết quả ma trận tương quan cho thấy mối quan hệ tuyến tính giữa các biến trong mô hình nhìn chung ở mức thấp đến trung bình. Hệ số tương quan lớn nhất giữa các biến độc lập đạt khoảng 0.388, vẫn nằm dưới ngưỡng cảnh báo nghiêm trọng về đa cộng tuyến. Các biến OP, TPU và lnREER chỉ có tương quan yếu với lnE/I, cho thấy khả năng tồn tại quan hệ tuyến tính trực tiếp là hạn chế và cần được kiểm định thông qua mô hình hồi quy.</w:t>
      </w:r>
    </w:p>
    <w:p w:rsidR="00000000" w:rsidDel="00000000" w:rsidP="00000000" w:rsidRDefault="00000000" w:rsidRPr="00000000" w14:paraId="00000129">
      <w:pPr>
        <w:spacing w:line="240" w:lineRule="auto"/>
        <w:ind w:firstLine="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Bên cạnh đó, kết quả kiểm định hệ số phóng đại phương sai (VIF) cho thấy tất cả các biến đều có VIF nhỏ hơn 1.3, với giá trị trung bình là 1.15. Điều này khẳng định mô hình không gặp vấn đề đa cộng tuyến đáng kể, đảm bảo tính ổn định và độ tin cậy của các ước lượng hồi quy trong các bước phân tích tiếp theo.</w:t>
      </w:r>
      <w:r w:rsidDel="00000000" w:rsidR="00000000" w:rsidRPr="00000000">
        <w:rPr>
          <w:rtl w:val="0"/>
        </w:rPr>
      </w:r>
    </w:p>
    <w:p w:rsidR="00000000" w:rsidDel="00000000" w:rsidP="00000000" w:rsidRDefault="00000000" w:rsidRPr="00000000" w14:paraId="0000012A">
      <w:pPr>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6"/>
          <w:szCs w:val="26"/>
          <w:rtl w:val="0"/>
        </w:rPr>
        <w:t xml:space="preserve">Bảng 4.3. Kết quả và kiểm định của mô hình theo các phương pháp </w:t>
      </w:r>
      <w:r w:rsidDel="00000000" w:rsidR="00000000" w:rsidRPr="00000000">
        <w:rPr>
          <w:rtl w:val="0"/>
        </w:rPr>
      </w:r>
    </w:p>
    <w:tbl>
      <w:tblPr>
        <w:tblStyle w:val="Table6"/>
        <w:tblW w:w="89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5"/>
        <w:gridCol w:w="2290"/>
        <w:gridCol w:w="2100"/>
        <w:gridCol w:w="2265"/>
        <w:tblGridChange w:id="0">
          <w:tblGrid>
            <w:gridCol w:w="2285"/>
            <w:gridCol w:w="2290"/>
            <w:gridCol w:w="2100"/>
            <w:gridCol w:w="2265"/>
          </w:tblGrid>
        </w:tblGridChange>
      </w:tblGrid>
      <w:tr>
        <w:trPr>
          <w:cantSplit w:val="0"/>
          <w:trHeight w:val="440" w:hRule="atLeast"/>
          <w:tblHeader w:val="1"/>
        </w:trPr>
        <w:tc>
          <w:tcPr>
            <w:vMerge w:val="restart"/>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2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r w:rsidDel="00000000" w:rsidR="00000000" w:rsidRPr="00000000">
              <w:rPr>
                <w:rtl w:val="0"/>
              </w:rPr>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2C">
            <w:pPr>
              <w:spacing w:line="240" w:lineRule="auto"/>
              <w:ind w:left="280" w:right="2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POLS</w:t>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2D">
            <w:pPr>
              <w:spacing w:line="240" w:lineRule="auto"/>
              <w:ind w:left="280" w:right="2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FEM</w:t>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2E">
            <w:pPr>
              <w:spacing w:line="240" w:lineRule="auto"/>
              <w:ind w:right="2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REM</w:t>
            </w:r>
          </w:p>
        </w:tc>
      </w:tr>
      <w:tr>
        <w:trPr>
          <w:cantSplit w:val="0"/>
          <w:trHeight w:val="346" w:hRule="atLeast"/>
          <w:tblHeader w:val="0"/>
        </w:trPr>
        <w:tc>
          <w:tcPr>
            <w:vMerge w:val="continue"/>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0">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lnE/I</w:t>
            </w:r>
            <w:r w:rsidDel="00000000" w:rsidR="00000000" w:rsidRPr="00000000">
              <w:rPr>
                <w:rtl w:val="0"/>
              </w:rPr>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1">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lnE/I</w:t>
            </w:r>
            <w:r w:rsidDel="00000000" w:rsidR="00000000" w:rsidRPr="00000000">
              <w:rPr>
                <w:rtl w:val="0"/>
              </w:rPr>
            </w:r>
          </w:p>
        </w:tc>
        <w:tc>
          <w:tcPr>
            <w:tcBorders>
              <w:left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2">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lnE/I</w:t>
            </w:r>
            <w:r w:rsidDel="00000000" w:rsidR="00000000" w:rsidRPr="00000000">
              <w:rPr>
                <w:rtl w:val="0"/>
              </w:rPr>
            </w:r>
          </w:p>
        </w:tc>
      </w:tr>
      <w:tr>
        <w:trPr>
          <w:cantSplit w:val="0"/>
          <w:tblHeader w:val="0"/>
        </w:trPr>
        <w:tc>
          <w:tcPr>
            <w:tcBorders>
              <w:top w:color="000000" w:space="0" w:sz="6" w:val="single"/>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3">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OP</w:t>
            </w:r>
            <w:r w:rsidDel="00000000" w:rsidR="00000000" w:rsidRPr="00000000">
              <w:rPr>
                <w:rtl w:val="0"/>
              </w:rPr>
            </w:r>
          </w:p>
        </w:tc>
        <w:tc>
          <w:tcPr>
            <w:tcBorders>
              <w:top w:color="000000" w:space="0" w:sz="5" w:val="single"/>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-0.00161***</w:t>
            </w:r>
          </w:p>
          <w:p w:rsidR="00000000" w:rsidDel="00000000" w:rsidP="00000000" w:rsidRDefault="00000000" w:rsidRPr="00000000" w14:paraId="0000013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[0.000427]</w:t>
            </w:r>
          </w:p>
        </w:tc>
        <w:tc>
          <w:tcPr>
            <w:tcBorders>
              <w:top w:color="000000" w:space="0" w:sz="5" w:val="single"/>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-0.00190***</w:t>
            </w:r>
          </w:p>
          <w:p w:rsidR="00000000" w:rsidDel="00000000" w:rsidP="00000000" w:rsidRDefault="00000000" w:rsidRPr="00000000" w14:paraId="0000013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[0.000425]</w:t>
            </w:r>
          </w:p>
        </w:tc>
        <w:tc>
          <w:tcPr>
            <w:tcBorders>
              <w:top w:color="000000" w:space="0" w:sz="5" w:val="single"/>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0.00757***</w:t>
            </w:r>
          </w:p>
          <w:p w:rsidR="00000000" w:rsidDel="00000000" w:rsidP="00000000" w:rsidRDefault="00000000" w:rsidRPr="00000000" w14:paraId="0000013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[0.000950]</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A">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lnGDP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0.0771***</w:t>
            </w:r>
          </w:p>
          <w:p w:rsidR="00000000" w:rsidDel="00000000" w:rsidP="00000000" w:rsidRDefault="00000000" w:rsidRPr="00000000" w14:paraId="0000013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[0.00624]</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0.174***</w:t>
            </w:r>
          </w:p>
          <w:p w:rsidR="00000000" w:rsidDel="00000000" w:rsidP="00000000" w:rsidRDefault="00000000" w:rsidRPr="00000000" w14:paraId="0000013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[0.0176]</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3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0.158***</w:t>
            </w:r>
          </w:p>
          <w:p w:rsidR="00000000" w:rsidDel="00000000" w:rsidP="00000000" w:rsidRDefault="00000000" w:rsidRPr="00000000" w14:paraId="0000014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[0.0146]</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1">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lnREER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-0.0476**</w:t>
            </w:r>
          </w:p>
          <w:p w:rsidR="00000000" w:rsidDel="00000000" w:rsidP="00000000" w:rsidRDefault="00000000" w:rsidRPr="00000000" w14:paraId="0000014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[0.0223]</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-0.0384**</w:t>
            </w:r>
          </w:p>
          <w:p w:rsidR="00000000" w:rsidDel="00000000" w:rsidP="00000000" w:rsidRDefault="00000000" w:rsidRPr="00000000" w14:paraId="0000014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[0.0178]</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-0.0503***</w:t>
            </w:r>
          </w:p>
          <w:p w:rsidR="00000000" w:rsidDel="00000000" w:rsidP="00000000" w:rsidRDefault="00000000" w:rsidRPr="00000000" w14:paraId="0000014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[0.0167]</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8">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-0.00198***</w:t>
            </w:r>
          </w:p>
          <w:p w:rsidR="00000000" w:rsidDel="00000000" w:rsidP="00000000" w:rsidRDefault="00000000" w:rsidRPr="00000000" w14:paraId="0000014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[0.000330]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-0.00188***</w:t>
            </w:r>
          </w:p>
          <w:p w:rsidR="00000000" w:rsidDel="00000000" w:rsidP="00000000" w:rsidRDefault="00000000" w:rsidRPr="00000000" w14:paraId="0000014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[0.000248]</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0.00304***</w:t>
            </w:r>
          </w:p>
          <w:p w:rsidR="00000000" w:rsidDel="00000000" w:rsidP="00000000" w:rsidRDefault="00000000" w:rsidRPr="00000000" w14:paraId="0000014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[0.000725]</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4F">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-0.00757***</w:t>
            </w:r>
          </w:p>
          <w:p w:rsidR="00000000" w:rsidDel="00000000" w:rsidP="00000000" w:rsidRDefault="00000000" w:rsidRPr="00000000" w14:paraId="0000015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[0.00107]</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0.0112***</w:t>
            </w:r>
          </w:p>
          <w:p w:rsidR="00000000" w:rsidDel="00000000" w:rsidP="00000000" w:rsidRDefault="00000000" w:rsidRPr="00000000" w14:paraId="0000015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[0.00214]</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0.0245***</w:t>
            </w:r>
          </w:p>
          <w:p w:rsidR="00000000" w:rsidDel="00000000" w:rsidP="00000000" w:rsidRDefault="00000000" w:rsidRPr="00000000" w14:paraId="0000015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[0.00227]</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6">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-1.339***</w:t>
            </w:r>
          </w:p>
          <w:p w:rsidR="00000000" w:rsidDel="00000000" w:rsidP="00000000" w:rsidRDefault="00000000" w:rsidRPr="00000000" w14:paraId="0000015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[0.182]</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-4.492***</w:t>
            </w:r>
          </w:p>
          <w:p w:rsidR="00000000" w:rsidDel="00000000" w:rsidP="00000000" w:rsidRDefault="00000000" w:rsidRPr="00000000" w14:paraId="0000015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[0.458]</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-4.523***</w:t>
            </w:r>
          </w:p>
          <w:p w:rsidR="00000000" w:rsidDel="00000000" w:rsidP="00000000" w:rsidRDefault="00000000" w:rsidRPr="00000000" w14:paraId="000001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[0.387]</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D">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5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1">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R-square</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0.176</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0.087</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5">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F-statistic</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59.59</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25.83</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9">
            <w:pPr>
              <w:spacing w:line="240" w:lineRule="auto"/>
              <w:ind w:left="280" w:right="2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Testing</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D">
            <w:pPr>
              <w:spacing w:line="240" w:lineRule="auto"/>
              <w:ind w:right="2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F-test</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6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0.0000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1">
            <w:pPr>
              <w:spacing w:line="240" w:lineRule="auto"/>
              <w:ind w:right="2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Hausman test</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0.0054</w:t>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5">
            <w:pPr>
              <w:spacing w:line="240" w:lineRule="auto"/>
              <w:ind w:right="2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BP/C-W test</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9">
            <w:pPr>
              <w:spacing w:line="240" w:lineRule="auto"/>
              <w:ind w:right="2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BP - LM test</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0.000</w:t>
            </w:r>
          </w:p>
        </w:tc>
        <w:tc>
          <w:tcPr>
            <w:tcBorders>
              <w:top w:color="000000" w:space="0" w:sz="0" w:val="nil"/>
              <w:left w:color="000000" w:space="0" w:sz="0" w:val="nil"/>
              <w:bottom w:color="000000" w:space="0" w:sz="0" w:val="nil"/>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0.000</w:t>
            </w:r>
          </w:p>
        </w:tc>
      </w:tr>
      <w:tr>
        <w:trPr>
          <w:cantSplit w:val="0"/>
          <w:tblHeader w:val="0"/>
        </w:trPr>
        <w:tc>
          <w:tcPr>
            <w:tcBorders>
              <w:top w:color="000000" w:space="0" w:sz="0" w:val="nil"/>
              <w:left w:color="000000" w:space="0" w:sz="0" w:val="nil"/>
              <w:bottom w:color="000000" w:space="0" w:sz="4" w:val="single"/>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D">
            <w:pPr>
              <w:spacing w:line="240" w:lineRule="auto"/>
              <w:ind w:right="2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Wooldridge test</w:t>
            </w:r>
          </w:p>
        </w:tc>
        <w:tc>
          <w:tcPr>
            <w:tcBorders>
              <w:top w:color="000000" w:space="0" w:sz="0" w:val="nil"/>
              <w:left w:color="000000" w:space="0" w:sz="0" w:val="nil"/>
              <w:bottom w:color="000000" w:space="0" w:sz="4" w:val="single"/>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7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17.0" w:type="dxa"/>
              <w:left w:w="17.0" w:type="dxa"/>
              <w:bottom w:w="17.0" w:type="dxa"/>
              <w:right w:w="17.0" w:type="dxa"/>
            </w:tcMar>
            <w:vAlign w:val="center"/>
          </w:tcPr>
          <w:p w:rsidR="00000000" w:rsidDel="00000000" w:rsidP="00000000" w:rsidRDefault="00000000" w:rsidRPr="00000000" w14:paraId="0000018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 0.000</w:t>
            </w:r>
          </w:p>
        </w:tc>
      </w:tr>
    </w:tbl>
    <w:p w:rsidR="00000000" w:rsidDel="00000000" w:rsidP="00000000" w:rsidRDefault="00000000" w:rsidRPr="00000000" w14:paraId="00000181">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6"/>
          <w:szCs w:val="26"/>
          <w:rtl w:val="0"/>
        </w:rPr>
        <w:t xml:space="preserve">[Độ lệch chuẩn], * p&lt;0.1, ** p&lt;0.05, *** p&lt;0.01</w:t>
      </w:r>
      <w:r w:rsidDel="00000000" w:rsidR="00000000" w:rsidRPr="00000000">
        <w:rPr>
          <w:rtl w:val="0"/>
        </w:rPr>
      </w:r>
    </w:p>
    <w:p w:rsidR="00000000" w:rsidDel="00000000" w:rsidP="00000000" w:rsidRDefault="00000000" w:rsidRPr="00000000" w14:paraId="0000018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 </w:t>
      </w:r>
      <w:r w:rsidDel="00000000" w:rsidR="00000000" w:rsidRPr="00000000">
        <w:rPr>
          <w:rFonts w:ascii="Times New Roman" w:cs="Times New Roman" w:eastAsia="Times New Roman" w:hAnsi="Times New Roman"/>
          <w:i w:val="1"/>
          <w:iCs w:val="1"/>
          <w:sz w:val="24"/>
          <w:szCs w:val="24"/>
          <w:rtl w:val="0"/>
        </w:rPr>
        <w:t xml:space="preserve">Kết quả phân tích từ phần mềm Stata 17 của nhóm tác giả (2025)</w:t>
      </w:r>
      <w:r w:rsidDel="00000000" w:rsidR="00000000" w:rsidRPr="00000000">
        <w:rPr>
          <w:rtl w:val="0"/>
        </w:rPr>
      </w:r>
    </w:p>
    <w:p w:rsidR="00000000" w:rsidDel="00000000" w:rsidP="00000000" w:rsidRDefault="00000000" w:rsidRPr="00000000" w14:paraId="00000183">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Trước hết, kiểm định Breusch-Pagan được áp dụng cho mô hình POLS nhằm kiểm tra hiện tượng phương sai sai số thay đổi. Kết quả cho thấy giá trị xác suất của kiểm định đều bằng 0.000 đối với cả hai phương trình, nhỏ hơn mức ý nghĩa 5%. Điều này cho thấy mô hình POLS tồn tại hiện tượng phương sai sai số thay đổi. </w:t>
      </w:r>
    </w:p>
    <w:p w:rsidR="00000000" w:rsidDel="00000000" w:rsidP="00000000" w:rsidRDefault="00000000" w:rsidRPr="00000000" w14:paraId="0000018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Tiếp theo, để lựa chọn giữa mô hình FEM và REM, nghiên cứu sử dụng kiểm định Hausman. Kết quả kiểm định cho thấy giá trị xác suất lần lượt bằng 0.0019 và 0.0054 cho hai phương trình, đều nhỏ hơn 5%. Tuy nhiên, để đánh giá tính thích hợp của mô hình FEM, nghiên cứu tiếp tục thực hiện kiểm định Modified Wald nhằm kiểm tra hiện tượng phương sai sai số thay đổi. Kết quả cho thấy giá trị xác suất đều bằng 0.000, qua đó khẳng định hiện tượng phương sai sai số thay đổi vẫn tồn tại ngay cả khi sử dụng mô hình FEM. Đồng thời, hiện tượng tự tương quan theo thời gian được kiểm tra thông qua kiểm định Wooldridge, với kết quả prob &gt; chi² đều bằng 0.000, cho thấy tồn tại tự tương quan trong phần dư của mô hình.</w:t>
      </w:r>
    </w:p>
    <w:p w:rsidR="00000000" w:rsidDel="00000000" w:rsidP="00000000" w:rsidRDefault="00000000" w:rsidRPr="00000000" w14:paraId="00000185">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Mặc dù kết quả hồi quy cho thấy hầu hết các biến đều có ý nghĩa thống kê ở mức rất cao, song các kiểm định trên chỉ ra rằng các mô hình đều vi phạm những giả định cơ bản về phương sai đồng nhất và độc lập của sai số. Do đó, các ước lượng thu được từ các mô hình này có nguy cơ là hồi quy giả, không đảm bảo tính hiệu quả và độ tin cậy để suy luận kinh tế. </w:t>
      </w:r>
    </w:p>
    <w:p w:rsidR="00000000" w:rsidDel="00000000" w:rsidP="00000000" w:rsidRDefault="00000000" w:rsidRPr="00000000" w14:paraId="0000018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4.4. Kết quả của mô hình hồi quy theo phương pháp FGLS</w:t>
      </w:r>
    </w:p>
    <w:tbl>
      <w:tblPr>
        <w:tblStyle w:val="Table7"/>
        <w:tblW w:w="8860.0" w:type="dxa"/>
        <w:jc w:val="left"/>
        <w:tblInd w:w="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1"/>
        <w:gridCol w:w="2880"/>
        <w:gridCol w:w="3039"/>
        <w:tblGridChange w:id="0">
          <w:tblGrid>
            <w:gridCol w:w="2941"/>
            <w:gridCol w:w="2880"/>
            <w:gridCol w:w="3039"/>
          </w:tblGrid>
        </w:tblGridChange>
      </w:tblGrid>
      <w:tr>
        <w:trPr>
          <w:cantSplit w:val="0"/>
          <w:trHeight w:val="254"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Hệ số hồi quy</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 lệch chuẩn</w:t>
            </w:r>
          </w:p>
        </w:tc>
      </w:tr>
      <w:tr>
        <w:trPr>
          <w:cantSplit w:val="0"/>
          <w:trHeight w:val="374" w:hRule="atLeast"/>
          <w:tblHeader w:val="0"/>
        </w:trPr>
        <w:tc>
          <w:tcPr>
            <w:tcBorders>
              <w:top w:color="000000" w:space="0" w:sz="6" w:val="single"/>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A">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OP</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-0.00135***</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0.000204</w:t>
            </w:r>
          </w:p>
        </w:tc>
      </w:tr>
      <w:tr>
        <w:trPr>
          <w:cantSplit w:val="0"/>
          <w:trHeight w:val="174"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D">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lnGDP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0.0659***</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8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0.00289</w:t>
            </w:r>
          </w:p>
        </w:tc>
      </w:tr>
      <w:tr>
        <w:trPr>
          <w:cantSplit w:val="0"/>
          <w:trHeight w:val="284"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0">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lnREER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-0.0530***</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0.0191</w:t>
            </w:r>
          </w:p>
        </w:tc>
      </w:tr>
      <w:tr>
        <w:trPr>
          <w:cantSplit w:val="0"/>
          <w:trHeight w:val="59"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3">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-0.000874***</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0.000157</w:t>
            </w:r>
          </w:p>
        </w:tc>
      </w:tr>
      <w:tr>
        <w:trPr>
          <w:cantSplit w:val="0"/>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6">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-0.00804*** </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0.000491</w:t>
            </w:r>
          </w:p>
        </w:tc>
      </w:tr>
      <w:tr>
        <w:trPr>
          <w:cantSplit w:val="0"/>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9">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-1.080***</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0.104</w:t>
            </w:r>
          </w:p>
        </w:tc>
      </w:tr>
      <w:tr>
        <w:trPr>
          <w:cantSplit w:val="0"/>
          <w:tblHeader w:val="0"/>
        </w:trPr>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w:t>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 </w:t>
            </w:r>
          </w:p>
        </w:tc>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9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 </w:t>
            </w:r>
          </w:p>
        </w:tc>
      </w:tr>
    </w:tbl>
    <w:p w:rsidR="00000000" w:rsidDel="00000000" w:rsidP="00000000" w:rsidRDefault="00000000" w:rsidRPr="00000000" w14:paraId="0000019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 </w:t>
      </w:r>
      <w:r w:rsidDel="00000000" w:rsidR="00000000" w:rsidRPr="00000000">
        <w:rPr>
          <w:rFonts w:ascii="Times New Roman" w:cs="Times New Roman" w:eastAsia="Times New Roman" w:hAnsi="Times New Roman"/>
          <w:i w:val="1"/>
          <w:iCs w:val="1"/>
          <w:sz w:val="24"/>
          <w:szCs w:val="24"/>
          <w:rtl w:val="0"/>
        </w:rPr>
        <w:t xml:space="preserve">Kết quả phân tích từ phần mềm Stata 17 của nhóm tác giả (2025)</w:t>
      </w:r>
      <w:r w:rsidDel="00000000" w:rsidR="00000000" w:rsidRPr="00000000">
        <w:rPr>
          <w:rtl w:val="0"/>
        </w:rPr>
      </w:r>
    </w:p>
    <w:p w:rsidR="00000000" w:rsidDel="00000000" w:rsidP="00000000" w:rsidRDefault="00000000" w:rsidRPr="00000000" w14:paraId="000001A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Mặc dù FGLS có thể xử lý hiện tượng phương sai sai số thay đổi và tự tương quan, tuy nhiên phương pháp này chưa khắc phục được vấn đề nội sinh. Cụ thể, GDP có thể gây nội sinh do tồn tại quan hệ tác động hai chiều với cán cân thương mại, trong khi giá dầu tuy được xem là cú sốc ngoại sinh nhưng trên thực tế lại gắn chặt với tăng trưởng kinh tế và nhiều yếu tố vĩ mô khác không được đưa vào mô hình, khiến nó có khả năng tương quan với sai số. </w:t>
      </w:r>
    </w:p>
    <w:p w:rsidR="00000000" w:rsidDel="00000000" w:rsidP="00000000" w:rsidRDefault="00000000" w:rsidRPr="00000000" w14:paraId="000001A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đó, nghiên cứu tiếp tục áp dụng phương pháp SGMM, kỹ thuật ước lượng phù hợp với dữ liệu bảng động, cho phép xử lý đồng thời phương sai sai số thay đổi, tự tương quan và nội sinh thông qua hệ thống biến công cụ. Với những ưu điểm này, SGMM được lựa chọn làm phương pháp ước lượng chính để phân tích mô hình trong nghiên cứu.</w:t>
      </w:r>
    </w:p>
    <w:p w:rsidR="00000000" w:rsidDel="00000000" w:rsidP="00000000" w:rsidRDefault="00000000" w:rsidRPr="00000000" w14:paraId="000001A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4.5. Kết quả của mô hình hồi quy theo phương pháp SGMM</w:t>
      </w:r>
    </w:p>
    <w:tbl>
      <w:tblPr>
        <w:tblStyle w:val="Table8"/>
        <w:tblW w:w="8895.0" w:type="dxa"/>
        <w:jc w:val="left"/>
        <w:tblInd w:w="3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3355"/>
        <w:gridCol w:w="2990"/>
        <w:tblGridChange w:id="0">
          <w:tblGrid>
            <w:gridCol w:w="2550"/>
            <w:gridCol w:w="3355"/>
            <w:gridCol w:w="2990"/>
          </w:tblGrid>
        </w:tblGridChange>
      </w:tblGrid>
      <w:tr>
        <w:trPr>
          <w:cantSplit w:val="0"/>
          <w:trHeight w:val="254" w:hRule="atLeast"/>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Biến quan sát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Hệ số hồi quy</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 lệch chuẩn</w:t>
            </w:r>
          </w:p>
        </w:tc>
      </w:tr>
      <w:tr>
        <w:trPr>
          <w:cantSplit w:val="0"/>
          <w:trHeight w:val="367" w:hRule="atLeast"/>
          <w:tblHeader w:val="0"/>
        </w:trPr>
        <w:tc>
          <w:tcPr>
            <w:tcBorders>
              <w:top w:color="000000" w:space="0" w:sz="6" w:val="single"/>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6">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lnE/I</w:t>
            </w:r>
            <w:r w:rsidDel="00000000" w:rsidR="00000000" w:rsidRPr="00000000">
              <w:rPr>
                <w:rFonts w:ascii="Times New Roman" w:cs="Times New Roman" w:eastAsia="Times New Roman" w:hAnsi="Times New Roman"/>
                <w:sz w:val="24"/>
                <w:szCs w:val="24"/>
                <w:vertAlign w:val="subscript"/>
                <w:rtl w:val="0"/>
              </w:rPr>
              <w:t xml:space="preserve">(-1)</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0.951***</w:t>
            </w:r>
          </w:p>
        </w:tc>
        <w:tc>
          <w:tcPr>
            <w:tcBorders>
              <w:top w:color="000000" w:space="0" w:sz="4" w:val="single"/>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0.0105</w:t>
            </w:r>
          </w:p>
        </w:tc>
      </w:tr>
      <w:tr>
        <w:trPr>
          <w:cantSplit w:val="0"/>
          <w:trHeight w:val="174"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9">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-0.000424***</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0.0000483</w:t>
            </w:r>
          </w:p>
        </w:tc>
      </w:tr>
      <w:tr>
        <w:trPr>
          <w:cantSplit w:val="0"/>
          <w:trHeight w:val="174"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C">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lnGDP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0.00536***</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0.000905</w:t>
            </w:r>
          </w:p>
        </w:tc>
      </w:tr>
      <w:tr>
        <w:trPr>
          <w:cantSplit w:val="0"/>
          <w:trHeight w:val="284"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AF">
            <w:pPr>
              <w:spacing w:line="240" w:lineRule="auto"/>
              <w:ind w:left="280" w:right="280" w:firstLine="0"/>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lnREER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-0.0238***</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0.00385</w:t>
            </w:r>
          </w:p>
        </w:tc>
      </w:tr>
      <w:tr>
        <w:trPr>
          <w:cantSplit w:val="0"/>
          <w:trHeight w:val="59"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2">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TPU</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-0.000109***</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0.0000318</w:t>
            </w:r>
          </w:p>
        </w:tc>
      </w:tr>
      <w:tr>
        <w:trPr>
          <w:cantSplit w:val="0"/>
          <w:trHeight w:val="315"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5">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-0.000755***</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0.000139</w:t>
            </w:r>
          </w:p>
        </w:tc>
      </w:tr>
      <w:tr>
        <w:trPr>
          <w:cantSplit w:val="0"/>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8">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0.0263</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0.0216</w:t>
            </w:r>
          </w:p>
        </w:tc>
      </w:tr>
      <w:tr>
        <w:trPr>
          <w:cantSplit w:val="0"/>
          <w:tblHeader w:val="0"/>
        </w:trPr>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quan sát</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1360 </w:t>
            </w:r>
          </w:p>
        </w:tc>
        <w:tc>
          <w:tcPr>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1360 </w:t>
            </w:r>
          </w:p>
        </w:tc>
      </w:tr>
      <w:tr>
        <w:trPr>
          <w:cantSplit w:val="0"/>
          <w:trHeight w:val="296" w:hRule="atLeast"/>
          <w:tblHeader w:val="0"/>
        </w:trPr>
        <w:tc>
          <w:tcPr>
            <w:tcBorders>
              <w:top w:color="000000" w:space="0" w:sz="0" w:val="nil"/>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E">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Hansen test</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B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Chi2(29) = 37.00</w:t>
            </w:r>
          </w:p>
          <w:p w:rsidR="00000000" w:rsidDel="00000000" w:rsidP="00000000" w:rsidRDefault="00000000" w:rsidRPr="00000000" w14:paraId="000001C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 &gt; chi2 = 0.146</w:t>
            </w:r>
          </w:p>
        </w:tc>
      </w:tr>
      <w:tr>
        <w:trPr>
          <w:cantSplit w:val="0"/>
          <w:trHeight w:val="296" w:hRule="atLeast"/>
          <w:tblHeader w:val="0"/>
        </w:trPr>
        <w:tc>
          <w:tcPr>
            <w:tcBorders>
              <w:left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C2">
            <w:pPr>
              <w:spacing w:line="240" w:lineRule="auto"/>
              <w:ind w:left="280" w:righ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Arellano-Bond test for AR(2)</w:t>
            </w:r>
          </w:p>
        </w:tc>
        <w:tc>
          <w:tcPr>
            <w:gridSpan w:val="2"/>
            <w:tcBorders>
              <w:top w:color="000000" w:space="0" w:sz="0" w:val="nil"/>
              <w:left w:color="000000" w:space="0" w:sz="0" w:val="nil"/>
              <w:bottom w:color="000000" w:space="0" w:sz="0" w:val="nil"/>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C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 -1.69</w:t>
            </w:r>
          </w:p>
          <w:p w:rsidR="00000000" w:rsidDel="00000000" w:rsidP="00000000" w:rsidRDefault="00000000" w:rsidRPr="00000000" w14:paraId="000001C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 &gt; z = 0.092</w:t>
            </w:r>
          </w:p>
        </w:tc>
      </w:tr>
      <w:tr>
        <w:trPr>
          <w:cantSplit w:val="0"/>
          <w:trHeight w:val="296" w:hRule="atLeast"/>
          <w:tblHeader w:val="0"/>
        </w:trPr>
        <w:tc>
          <w:tcPr>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C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biến công cụ</w:t>
            </w:r>
          </w:p>
        </w:tc>
        <w:tc>
          <w:tcPr>
            <w:gridSpan w:val="2"/>
            <w:tcBorders>
              <w:top w:color="000000" w:space="0" w:sz="0" w:val="nil"/>
              <w:left w:color="000000" w:space="0" w:sz="0" w:val="nil"/>
              <w:bottom w:color="000000" w:space="0" w:sz="4" w:val="single"/>
              <w:right w:color="000000" w:space="0" w:sz="0" w:val="nil"/>
            </w:tcBorders>
            <w:tcMar>
              <w:top w:w="28.0" w:type="dxa"/>
              <w:left w:w="28.0" w:type="dxa"/>
              <w:bottom w:w="28.0" w:type="dxa"/>
              <w:right w:w="28.0" w:type="dxa"/>
            </w:tcMar>
            <w:vAlign w:val="center"/>
          </w:tcPr>
          <w:p w:rsidR="00000000" w:rsidDel="00000000" w:rsidP="00000000" w:rsidRDefault="00000000" w:rsidRPr="00000000" w14:paraId="000001C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bl>
    <w:p w:rsidR="00000000" w:rsidDel="00000000" w:rsidP="00000000" w:rsidRDefault="00000000" w:rsidRPr="00000000" w14:paraId="000001C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Nguồn: </w:t>
      </w:r>
      <w:r w:rsidDel="00000000" w:rsidR="00000000" w:rsidRPr="00000000">
        <w:rPr>
          <w:rFonts w:ascii="Times New Roman" w:cs="Times New Roman" w:eastAsia="Times New Roman" w:hAnsi="Times New Roman"/>
          <w:i w:val="1"/>
          <w:iCs w:val="1"/>
          <w:sz w:val="24"/>
          <w:szCs w:val="24"/>
          <w:rtl w:val="0"/>
        </w:rPr>
        <w:t xml:space="preserve">Kết quả phân tích từ phần mềm Stata 17 của nhóm tác giả (2025)</w:t>
      </w:r>
      <w:r w:rsidDel="00000000" w:rsidR="00000000" w:rsidRPr="00000000">
        <w:rPr>
          <w:rtl w:val="0"/>
        </w:rPr>
      </w:r>
    </w:p>
    <w:p w:rsidR="00000000" w:rsidDel="00000000" w:rsidP="00000000" w:rsidRDefault="00000000" w:rsidRPr="00000000" w14:paraId="000001C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Kết quả nghiên cứu chỉ ra rằng biến động giá dầu là một yếu tố có ảnh hưởng tiêu cực và có ý nghĩa thống kê đến cán cân thương mại của các quốc gia châu Á. Cụ thể, khi giá dầu tăng thêm 1 đơn vị, cán cân thương mại của quốc gia giảm khoảng 0.0424%, trong điều kiện các yếu tố khác không đổi. Điều này phản ánh vai trò của giá dầu như một cú sốc chi phí đầu vào quan trọng đối với các nền kinh tế phụ thuộc vào nhập khẩu năng lượng. Phát hiện này phù hợp với lập luận của Ahmed và cộng sự (2023) khi cho rằng giá dầu là một chỉ báo vĩ mô phản ứng sớm và nhạy với các biến động kinh tế. Kết quả cũng nhất quán với bằng chứng thực nghiệm của Chang và cộng sự (2023); Ogbonna và Ichoku (2022), khi chỉ ra rằng tại các quốc gia nhập khẩu dầu, các cú sốc tăng giá dầu tạo ra tác động tiêu cực mạnh mẽ hơn so với tác động tích cực của các đợt giảm giá dầu đối với cán cân tài khoản vãng lai và cán cân thương mại. Việc các kết quả định lượng trong nghiên cứu này củng cố cho giả thuyết H1 cho thấy giá dầu có khả năng làm suy giảm đáng kể hiệu quả thương mại của các nền kinh tế châu Á trong bối cảnh phụ thuộc lớn vào nhập khẩu năng lượng.</w:t>
      </w:r>
    </w:p>
    <w:p w:rsidR="00000000" w:rsidDel="00000000" w:rsidP="00000000" w:rsidRDefault="00000000" w:rsidRPr="00000000" w14:paraId="000001CB">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Tiếp theo, khi lnGDP tăng 1%, cán cân thương mại có xu hướng tăng khoảng 0.00536%, trong điều kiện các yếu tố khác không đổi. Về mặt kinh tế, kết quả này hàm ý rằng tăng trưởng GDP không chỉ phản ánh sự gia tăng cầu nội địa mà còn gắn liền với quá trình mở rộng năng lực sản xuất và xuất khẩu của nền kinh tế. Khi quy mô kinh tế được mở rộng, các doanh nghiệp có điều kiện khai thác lợi thế quy mô, cải thiện năng suất và tham gia sâu hơn vào chuỗi giá trị toàn cầu, qua đó thúc đẩy xuất khẩu nhanh hơn tốc độ gia tăng nhập khẩu. Đồng thời, tăng trưởng GDP còn giúp cải thiện môi trường đầu tư, củng cố ổn định vĩ mô và nâng cao năng lực cạnh tranh quốc gia, từ đó hỗ trợ tích cực cho cán cân thương mại. Phát hiện này phù hợp với các nghiên cứu cho rằng tăng trưởng kinh tế đóng vai trò là động lực cải thiện vị thế thương mại thông qua kênh mở rộng năng lực sản xuất và xuất khẩu (Falk, 2007; Lumayung, Galih Aga và cộng sự, 2023; Tuyet Le, 2024). </w:t>
      </w:r>
    </w:p>
    <w:p w:rsidR="00000000" w:rsidDel="00000000" w:rsidP="00000000" w:rsidRDefault="00000000" w:rsidRPr="00000000" w14:paraId="000001C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Dưới góc độ kết quả nghiên cứu, khi lnREER tăng 1%, cán cân thương mại có xu hướng giảm khoảng 0.0238%, trong điều kiện các yếu tố khác không đổi, hàm ý rằng sự lên giá của đồng nội tệ làm suy yếu xuất khẩu và gia tăng nhập khẩu. Phát hiện này phản ánh tính không thống nhất của các bằng chứng thực nghiệm trong văn liệu. Trong khi Myoung Shik Choi (2020) và Dilanchiev và cộng sự (2022) ghi nhận tác động cùng chiều của REER lên cán cân thương mại trong một số bối cảnh gắn với chuỗi giá trị toàn cầu, thì Yaya Keho (2020) lại chỉ ra rằng sự mất giá của REER giúp cải thiện cán cân thương mại, qua đó hàm ý mối quan hệ nghịch biến giữa hai biến số. Kết quả của nghiên cứu hiện tại phù hợp với nhóm kết quả thứ hai, cho thấy trong phạm vi các nền kinh tế châu Á, hiệu ứng cạnh tranh giá vẫn giữ vai trò chi phối. </w:t>
      </w:r>
    </w:p>
    <w:p w:rsidR="00000000" w:rsidDel="00000000" w:rsidP="00000000" w:rsidRDefault="00000000" w:rsidRPr="00000000" w14:paraId="000001C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Hơn nữa, kết quả ước lượng cho thấy rằng, khi mức độ bất định chính sách thương mại tăng thêm 1 đơn vị, cán cân thương mại trung bình giảm khoảng 0,0109%, trong điều kiện các yếu tố khác không đổi. Mặc dù biên độ tác động không lớn về mặt định lượng, kết quả này phản ánh rõ vai trò kìm hãm của môi trường chính sách thiếu ổn định đối với hoạt động thương mại quốc tế. Kết quả trên phù hợp với lập luận của Lindé và Pescatori (2019) cùng Furceri và cộng sự (2020) khi cho rằng sự không chắc chắn về chính sách làm gia tăng rủi ro và chi phí giao dịch, qua đó làm suy yếu các quyết định đầu tư và xuất khẩu. Osnago và cộng sự (2015) cũng chỉ ra rằng bất ổn chính sách thương mại là một rào cản quan trọng đối với xuất khẩu, do doanh nghiệp có xu hướng trì hoãn các kế hoạch mở rộng thị trường trong bối cảnh kỳ vọng trở nên bất định. </w:t>
      </w:r>
    </w:p>
    <w:p w:rsidR="00000000" w:rsidDel="00000000" w:rsidP="00000000" w:rsidRDefault="00000000" w:rsidRPr="00000000" w14:paraId="000001C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Cuối cùng, độ nhạy quốc gia phản ánh mức độ dễ tổn thương của nền kinh tế trước các cú sốc từ bên ngoài, thông qua các kênh thương mại, tài chính và kỳ vọng thị trường. Theo Sovacool &amp; Mukherjee (2011) và Sovacool (2013), SEN được xem là một đặc trưng cấu trúc của nền kinh tế, thể hiện khả năng hấp thụ và thích nghi trước những biến động từ môi trường quốc tế. Do biến phụ thuộc được đo lường dưới dạng logarit trong khi SEN ở dạng mức, hệ số hồi quy được diễn giải theo dạng bán co giãn. Cụ thể, cán cân thương mại trung bình giảm khoảng 0,0755% khi độ nhạy của quốc gia tăng thêm 1 đơn vị. Điều này cho thấy các nền kinh tế có độ nhạy cao thường chịu tác động bất lợi rõ rệt hơn từ các cú sốc bên ngoài thông qua kênh thương mại. Về mặt kinh tế, kết quả này phản ánh rằng khi độ nhạy gia tăng, nền kinh tế trở nên dễ bị tổn thương hơn trước những thay đổi của môi trường quốc tế, khiến chi phí điều chỉnh của doanh nghiệp tăng lên và khả năng duy trì ổn định dòng xuất, nhập khẩu bị suy yếu. </w:t>
      </w:r>
    </w:p>
    <w:p w:rsidR="00000000" w:rsidDel="00000000" w:rsidP="00000000" w:rsidRDefault="00000000" w:rsidRPr="00000000" w14:paraId="000001CF">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Kết luận</w:t>
      </w:r>
    </w:p>
    <w:p w:rsidR="00000000" w:rsidDel="00000000" w:rsidP="00000000" w:rsidRDefault="00000000" w:rsidRPr="00000000" w14:paraId="000001D0">
      <w:pPr>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5.1. Kết luận nghiên cứu</w:t>
      </w:r>
    </w:p>
    <w:p w:rsidR="00000000" w:rsidDel="00000000" w:rsidP="00000000" w:rsidRDefault="00000000" w:rsidRPr="00000000" w14:paraId="000001D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Nghiên cứu cung cấp bằng chứng thực nghiệm cho thấy cán cân thương mại của các quốc gia châu Á chịu tác động tiêu cực từ biến động giá dầu và bất định chính sách thương mại. Kết quả ước lượng SGMM cho thấyOP, TPU và SEN đều có ảnh hưởng ngược chiều đến BOT, trong khi GDP có vai trò cải thiện trạng thái thương mại; ngược lại, REER có tác động tiêu cực trong bối cảnh hội nhập sâu vào chuỗi giá trị toàn cầu.</w:t>
      </w:r>
    </w:p>
    <w:p w:rsidR="00000000" w:rsidDel="00000000" w:rsidP="00000000" w:rsidRDefault="00000000" w:rsidRPr="00000000" w14:paraId="000001D2">
      <w:pPr>
        <w:spacing w:line="240" w:lineRule="auto"/>
        <w:ind w:firstLine="72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Về mặt học thuật, nghiên cứu mở rộng khung lý thuyết Vulnerability Scoping Diagram (VSD) sang lĩnh vực thương mại quốc tế thông qua việc lượng hóa và kiểm định vai trò trực tiếp của độ nhạy quốc gia đối với cán cân thương mại. Việc xây dựng chỉ số SEN tổng hợp bằng phương pháp PCA cho phép tiếp cận đa chiều hơn trong đo lường tính dễ bị tổn thương kinh tế. Về mặt thực tiễn, kết quả cho thấy ổn định thương mại không chỉ phụ thuộc vào việc kiểm soát các cú sốc bên ngoài mà còn gắn chặt với việc cải thiện các đặc điểm cấu trúc nội tại của nền kinh tế.</w:t>
      </w:r>
      <w:r w:rsidDel="00000000" w:rsidR="00000000" w:rsidRPr="00000000">
        <w:rPr>
          <w:rtl w:val="0"/>
        </w:rPr>
      </w:r>
    </w:p>
    <w:p w:rsidR="00000000" w:rsidDel="00000000" w:rsidP="00000000" w:rsidRDefault="00000000" w:rsidRPr="00000000" w14:paraId="000001D3">
      <w:pPr>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5.2. Hàm ý chính sách</w:t>
      </w:r>
    </w:p>
    <w:p w:rsidR="00000000" w:rsidDel="00000000" w:rsidP="00000000" w:rsidRDefault="00000000" w:rsidRPr="00000000" w14:paraId="000001D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Kết quả nghiên cứu hàm ý rằng các chính phủ cần giảm độ nhạy quốc gia như một mục tiêu chính sách dài hạn thông qua điều chỉnh cấu trúc kinh tế theo hướng giảm thâm dụng năng lượng, đa dạng hóa nguồn cung năng lượng tái tạo. Đồng thời, việc hoàn thiện khung chính sách thương mại ổn định và mở rộng các hiệp định thương mại tự do sẽ góp phần hạn chế tác động tiêu cực từ bất định chính sách toàn cầu.</w:t>
      </w:r>
    </w:p>
    <w:p w:rsidR="00000000" w:rsidDel="00000000" w:rsidP="00000000" w:rsidRDefault="00000000" w:rsidRPr="00000000" w14:paraId="000001D5">
      <w:pPr>
        <w:spacing w:line="240" w:lineRule="auto"/>
        <w:ind w:firstLine="72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Đối với các cơ quan hoạch định chính sách, chỉ số SEN có thể được sử dụng như một chỉ báo bổ trợ trong đánh giá rủi ro thương mại và xây dựng chính sách tích hợp giữa thương mại và năng lượng. Ở cấp độ doanh nghiệp, đặc biệt tại các quốc gia có SEN cao, việc nâng cao hiệu quả sử dụng năng lượng, đa dạng hóa thị trường và tăng tính linh hoạt của chuỗi cung ứng sẽ giúp cải thiện khả năng thích ứng trước môi trường thương mại nhiều bất định. Bên cạnh đó, tăng cường hợp tác khu vực sẽ góp phần nâng cao tính ổn định thương mại trong bối cảnh các cú sốc toàn cầu gia tăng.</w:t>
      </w:r>
      <w:r w:rsidDel="00000000" w:rsidR="00000000" w:rsidRPr="00000000">
        <w:rPr>
          <w:rtl w:val="0"/>
        </w:rPr>
      </w:r>
    </w:p>
    <w:p w:rsidR="00000000" w:rsidDel="00000000" w:rsidP="00000000" w:rsidRDefault="00000000" w:rsidRPr="00000000" w14:paraId="000001D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5.3. Hạn chế và hướng nghiên cứu tiếp theo</w:t>
      </w:r>
      <w:r w:rsidDel="00000000" w:rsidR="00000000" w:rsidRPr="00000000">
        <w:rPr>
          <w:rtl w:val="0"/>
        </w:rPr>
      </w:r>
    </w:p>
    <w:p w:rsidR="00000000" w:rsidDel="00000000" w:rsidP="00000000" w:rsidRDefault="00000000" w:rsidRPr="00000000" w14:paraId="000001D7">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Nghiên cứu vẫn tồn tại một số hạn chế, bao gồm việc sử dụng chỉ số SEN tổng hợp chưa phản ánh riêng lẻ vai trò của từng thành phần cấu trúc, phạm vi cú sốc còn hạn chế và mẫu nghiên cứu chỉ tập trung vào khu vực châu Á. Các nghiên cứu tiếp theo có thể mở rộng theo hướng phân tích từng thành phần của SEN, xem xét thêm các loại cú sốc vĩ mô khác và mở rộng phạm vi nghiên cứu sang các khu vực khác nhằm kiểm định tính khái quát của kết quả.</w:t>
      </w:r>
      <w:r w:rsidDel="00000000" w:rsidR="00000000" w:rsidRPr="00000000">
        <w:rPr>
          <w:rtl w:val="0"/>
        </w:rPr>
      </w:r>
    </w:p>
    <w:p w:rsidR="00000000" w:rsidDel="00000000" w:rsidP="00000000" w:rsidRDefault="00000000" w:rsidRPr="00000000" w14:paraId="000001D8">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TÀI LIỆU THAM KHẢO</w:t>
      </w:r>
    </w:p>
    <w:p w:rsidR="00000000" w:rsidDel="00000000" w:rsidP="00000000" w:rsidRDefault="00000000" w:rsidRPr="00000000" w14:paraId="000001D9">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Abaidoo, R. (2019). Policy uncertainty and dynamics of international trade. </w:t>
      </w:r>
      <w:r w:rsidDel="00000000" w:rsidR="00000000" w:rsidRPr="00000000">
        <w:rPr>
          <w:rFonts w:ascii="Times New Roman" w:cs="Times New Roman" w:eastAsia="Times New Roman" w:hAnsi="Times New Roman"/>
          <w:i w:val="1"/>
          <w:iCs w:val="1"/>
          <w:sz w:val="24"/>
          <w:szCs w:val="24"/>
          <w:rtl w:val="0"/>
        </w:rPr>
        <w:t xml:space="preserve">Journal of Financial Economic Policy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(1), 101–120. https://doi.org/10.1108/jfep-02-2018-0034</w:t>
      </w:r>
    </w:p>
    <w:p w:rsidR="00000000" w:rsidDel="00000000" w:rsidP="00000000" w:rsidRDefault="00000000" w:rsidRPr="00000000" w14:paraId="000001DA">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Abu Eleyan, M. I., Nazif Çatık, A., &amp; Ballı, E. (2022). Do the time-varying effects of oil prices affect the trade balances of ASEAN-5 countries? </w:t>
      </w:r>
      <w:r w:rsidDel="00000000" w:rsidR="00000000" w:rsidRPr="00000000">
        <w:rPr>
          <w:rFonts w:ascii="Times New Roman" w:cs="Times New Roman" w:eastAsia="Times New Roman" w:hAnsi="Times New Roman"/>
          <w:i w:val="1"/>
          <w:iCs w:val="1"/>
          <w:sz w:val="24"/>
          <w:szCs w:val="24"/>
          <w:rtl w:val="0"/>
        </w:rPr>
        <w:t xml:space="preserve">Energy Sources, Part B: Economics, Planning, and Policy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(1). https://doi.org/10.1080/15567249.2022.2053898</w:t>
      </w:r>
    </w:p>
    <w:p w:rsidR="00000000" w:rsidDel="00000000" w:rsidP="00000000" w:rsidRDefault="00000000" w:rsidRPr="00000000" w14:paraId="000001DB">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Adeosun, O. A., Olayeni, R. O., Tabash, M. I., &amp; Suhaib Anagreh. (2023). The dynamics of oil prices, uncertainty measures and unemployment: a time and frequency approach. </w:t>
      </w:r>
      <w:r w:rsidDel="00000000" w:rsidR="00000000" w:rsidRPr="00000000">
        <w:rPr>
          <w:rFonts w:ascii="Times New Roman" w:cs="Times New Roman" w:eastAsia="Times New Roman" w:hAnsi="Times New Roman"/>
          <w:i w:val="1"/>
          <w:iCs w:val="1"/>
          <w:sz w:val="24"/>
          <w:szCs w:val="24"/>
          <w:rtl w:val="0"/>
        </w:rPr>
        <w:t xml:space="preserve">China Finance Review International</w:t>
      </w:r>
      <w:r w:rsidDel="00000000" w:rsidR="00000000" w:rsidRPr="00000000">
        <w:rPr>
          <w:rFonts w:ascii="Times New Roman" w:cs="Times New Roman" w:eastAsia="Times New Roman" w:hAnsi="Times New Roman"/>
          <w:sz w:val="24"/>
          <w:szCs w:val="24"/>
          <w:rtl w:val="0"/>
        </w:rPr>
        <w:t xml:space="preserve">. https://doi.org/10.1108/cfri-06-2022-0094</w:t>
      </w:r>
    </w:p>
    <w:p w:rsidR="00000000" w:rsidDel="00000000" w:rsidP="00000000" w:rsidRDefault="00000000" w:rsidRPr="00000000" w14:paraId="000001DC">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Ahad, M., &amp; Anwer, Z. (2020). Asymmetric impact of oil price on trade balance in BRICS countries: Multiplier dynamic analysis. </w:t>
      </w:r>
      <w:r w:rsidDel="00000000" w:rsidR="00000000" w:rsidRPr="00000000">
        <w:rPr>
          <w:rFonts w:ascii="Times New Roman" w:cs="Times New Roman" w:eastAsia="Times New Roman" w:hAnsi="Times New Roman"/>
          <w:i w:val="1"/>
          <w:iCs w:val="1"/>
          <w:sz w:val="24"/>
          <w:szCs w:val="24"/>
          <w:rtl w:val="0"/>
        </w:rPr>
        <w:t xml:space="preserve">International Journal of Finance &amp;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(2), 2177–2197. https://doi.org/10.1002/ijfe.1900</w:t>
      </w:r>
    </w:p>
    <w:p w:rsidR="00000000" w:rsidDel="00000000" w:rsidP="00000000" w:rsidRDefault="00000000" w:rsidRPr="00000000" w14:paraId="000001DD">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R., Chen, X. H., Kumpamool, C., &amp; Nguyen, D. T. K. (2023). Inflation, Oil prices, and Economic Activity in Recent crisis: Evidence from the UK. </w:t>
      </w:r>
      <w:r w:rsidDel="00000000" w:rsidR="00000000" w:rsidRPr="00000000">
        <w:rPr>
          <w:rFonts w:ascii="Times New Roman" w:cs="Times New Roman" w:eastAsia="Times New Roman" w:hAnsi="Times New Roman"/>
          <w:i w:val="1"/>
          <w:iCs w:val="1"/>
          <w:sz w:val="24"/>
          <w:szCs w:val="24"/>
          <w:rtl w:val="0"/>
        </w:rPr>
        <w:t xml:space="preserve">Energy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126</w:t>
      </w:r>
      <w:r w:rsidDel="00000000" w:rsidR="00000000" w:rsidRPr="00000000">
        <w:rPr>
          <w:rFonts w:ascii="Times New Roman" w:cs="Times New Roman" w:eastAsia="Times New Roman" w:hAnsi="Times New Roman"/>
          <w:sz w:val="24"/>
          <w:szCs w:val="24"/>
          <w:rtl w:val="0"/>
        </w:rPr>
        <w:t xml:space="preserve">(1), 106918. sciencedirect. https://doi.org/10.1016/j.eneco.2023.106918</w:t>
      </w:r>
    </w:p>
    <w:p w:rsidR="00000000" w:rsidDel="00000000" w:rsidP="00000000" w:rsidRDefault="00000000" w:rsidRPr="00000000" w14:paraId="000001DE">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Alsamara, M., Mimouni, K., Barkat, K., &amp; Kayaly, D. (2022). Can exchange rate policies and trade partners’ income enhance the trade balance in Algeria? Evidence from the nonlinear ARDL model. </w:t>
      </w:r>
      <w:r w:rsidDel="00000000" w:rsidR="00000000" w:rsidRPr="00000000">
        <w:rPr>
          <w:rFonts w:ascii="Times New Roman" w:cs="Times New Roman" w:eastAsia="Times New Roman" w:hAnsi="Times New Roman"/>
          <w:i w:val="1"/>
          <w:iCs w:val="1"/>
          <w:sz w:val="24"/>
          <w:szCs w:val="24"/>
          <w:rtl w:val="0"/>
        </w:rPr>
        <w:t xml:space="preserve">International Journal of Emerging Markets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19</w:t>
      </w:r>
      <w:r w:rsidDel="00000000" w:rsidR="00000000" w:rsidRPr="00000000">
        <w:rPr>
          <w:rFonts w:ascii="Times New Roman" w:cs="Times New Roman" w:eastAsia="Times New Roman" w:hAnsi="Times New Roman"/>
          <w:sz w:val="24"/>
          <w:szCs w:val="24"/>
          <w:rtl w:val="0"/>
        </w:rPr>
        <w:t xml:space="preserve">(5), 1135–1156. https://doi.org/10.1108/ijoem-02-2022-0341</w:t>
      </w:r>
    </w:p>
    <w:p w:rsidR="00000000" w:rsidDel="00000000" w:rsidP="00000000" w:rsidRDefault="00000000" w:rsidRPr="00000000" w14:paraId="000001DF">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Backus, D. K., &amp; Crucini, M. J. (2000). Oil prices and the terms of trade. </w:t>
      </w:r>
      <w:r w:rsidDel="00000000" w:rsidR="00000000" w:rsidRPr="00000000">
        <w:rPr>
          <w:rFonts w:ascii="Times New Roman" w:cs="Times New Roman" w:eastAsia="Times New Roman" w:hAnsi="Times New Roman"/>
          <w:i w:val="1"/>
          <w:iCs w:val="1"/>
          <w:sz w:val="24"/>
          <w:szCs w:val="24"/>
          <w:rtl w:val="0"/>
        </w:rPr>
        <w:t xml:space="preserve">Journal of International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50</w:t>
      </w:r>
      <w:r w:rsidDel="00000000" w:rsidR="00000000" w:rsidRPr="00000000">
        <w:rPr>
          <w:rFonts w:ascii="Times New Roman" w:cs="Times New Roman" w:eastAsia="Times New Roman" w:hAnsi="Times New Roman"/>
          <w:sz w:val="24"/>
          <w:szCs w:val="24"/>
          <w:rtl w:val="0"/>
        </w:rPr>
        <w:t xml:space="preserve">(1), 185–213. https://doi.org/10.1016/s0022-1996(98)00064-6</w:t>
      </w:r>
    </w:p>
    <w:p w:rsidR="00000000" w:rsidDel="00000000" w:rsidP="00000000" w:rsidRDefault="00000000" w:rsidRPr="00000000" w14:paraId="000001E0">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Baek, J. (2024). On the effects of crude oil demand and supply shocks on Korea’s bilateral trade balance: are the effects asymmetry? </w:t>
      </w:r>
      <w:r w:rsidDel="00000000" w:rsidR="00000000" w:rsidRPr="00000000">
        <w:rPr>
          <w:rFonts w:ascii="Times New Roman" w:cs="Times New Roman" w:eastAsia="Times New Roman" w:hAnsi="Times New Roman"/>
          <w:i w:val="1"/>
          <w:iCs w:val="1"/>
          <w:sz w:val="24"/>
          <w:szCs w:val="24"/>
          <w:rtl w:val="0"/>
        </w:rPr>
        <w:t xml:space="preserve">Asia-Pacific Journal of Accounting &amp;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32</w:t>
      </w:r>
      <w:r w:rsidDel="00000000" w:rsidR="00000000" w:rsidRPr="00000000">
        <w:rPr>
          <w:rFonts w:ascii="Times New Roman" w:cs="Times New Roman" w:eastAsia="Times New Roman" w:hAnsi="Times New Roman"/>
          <w:sz w:val="24"/>
          <w:szCs w:val="24"/>
          <w:rtl w:val="0"/>
        </w:rPr>
        <w:t xml:space="preserve">(1), 181–195. https://doi.org/10.1080/16081625.2024.2342374</w:t>
      </w:r>
    </w:p>
    <w:p w:rsidR="00000000" w:rsidDel="00000000" w:rsidP="00000000" w:rsidRDefault="00000000" w:rsidRPr="00000000" w14:paraId="000001E1">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Baek, J., Ikponmwosa, M. J., &amp; Choi, Y. J. (2019). Crude oil prices and the balance of trade: Asymmetric evidence from selected OPEC member countries. </w:t>
      </w:r>
      <w:r w:rsidDel="00000000" w:rsidR="00000000" w:rsidRPr="00000000">
        <w:rPr>
          <w:rFonts w:ascii="Times New Roman" w:cs="Times New Roman" w:eastAsia="Times New Roman" w:hAnsi="Times New Roman"/>
          <w:i w:val="1"/>
          <w:iCs w:val="1"/>
          <w:sz w:val="24"/>
          <w:szCs w:val="24"/>
          <w:rtl w:val="0"/>
        </w:rPr>
        <w:t xml:space="preserve">The Journal of International Trade &amp; Economic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28</w:t>
      </w:r>
      <w:r w:rsidDel="00000000" w:rsidR="00000000" w:rsidRPr="00000000">
        <w:rPr>
          <w:rFonts w:ascii="Times New Roman" w:cs="Times New Roman" w:eastAsia="Times New Roman" w:hAnsi="Times New Roman"/>
          <w:sz w:val="24"/>
          <w:szCs w:val="24"/>
          <w:rtl w:val="0"/>
        </w:rPr>
        <w:t xml:space="preserve">(5), 533–547. https://doi.org/10.1080/09638199.2019.1574310</w:t>
      </w:r>
    </w:p>
    <w:p w:rsidR="00000000" w:rsidDel="00000000" w:rsidP="00000000" w:rsidRDefault="00000000" w:rsidRPr="00000000" w14:paraId="000001E2">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Bodenstein, M., Erceg, C. J., &amp; Guerrieri, L. (2011). Oil shocks and external adjustment. </w:t>
      </w:r>
      <w:r w:rsidDel="00000000" w:rsidR="00000000" w:rsidRPr="00000000">
        <w:rPr>
          <w:rFonts w:ascii="Times New Roman" w:cs="Times New Roman" w:eastAsia="Times New Roman" w:hAnsi="Times New Roman"/>
          <w:i w:val="1"/>
          <w:iCs w:val="1"/>
          <w:sz w:val="24"/>
          <w:szCs w:val="24"/>
          <w:rtl w:val="0"/>
        </w:rPr>
        <w:t xml:space="preserve">Journal of International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83</w:t>
      </w:r>
      <w:r w:rsidDel="00000000" w:rsidR="00000000" w:rsidRPr="00000000">
        <w:rPr>
          <w:rFonts w:ascii="Times New Roman" w:cs="Times New Roman" w:eastAsia="Times New Roman" w:hAnsi="Times New Roman"/>
          <w:sz w:val="24"/>
          <w:szCs w:val="24"/>
          <w:rtl w:val="0"/>
        </w:rPr>
        <w:t xml:space="preserve">(2), 168–184. https://doi.org/10.1016/j.jinteco.2010.10.006</w:t>
      </w:r>
    </w:p>
    <w:p w:rsidR="00000000" w:rsidDel="00000000" w:rsidP="00000000" w:rsidRDefault="00000000" w:rsidRPr="00000000" w14:paraId="000001E3">
      <w:pPr>
        <w:spacing w:line="240" w:lineRule="auto"/>
        <w:ind w:left="709" w:hanging="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Brown, W., Hogendorn, J.S. (2000), International Economics: In the Age of Globalization. </w:t>
      </w:r>
    </w:p>
    <w:p w:rsidR="00000000" w:rsidDel="00000000" w:rsidP="00000000" w:rsidRDefault="00000000" w:rsidRPr="00000000" w14:paraId="000001E4">
      <w:pPr>
        <w:spacing w:line="24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Canada: University of Toronto Press.</w:t>
      </w:r>
      <w:r w:rsidDel="00000000" w:rsidR="00000000" w:rsidRPr="00000000">
        <w:rPr>
          <w:rtl w:val="0"/>
        </w:rPr>
      </w:r>
    </w:p>
    <w:p w:rsidR="00000000" w:rsidDel="00000000" w:rsidP="00000000" w:rsidRDefault="00000000" w:rsidRPr="00000000" w14:paraId="000001E5">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Caldara, D., Iacoviello, M., Molligo, P., Prestipino, A., &amp; Raffo, A. (2020). The economic effects of trade policy uncertainty. </w:t>
      </w:r>
      <w:r w:rsidDel="00000000" w:rsidR="00000000" w:rsidRPr="00000000">
        <w:rPr>
          <w:rFonts w:ascii="Times New Roman" w:cs="Times New Roman" w:eastAsia="Times New Roman" w:hAnsi="Times New Roman"/>
          <w:i w:val="1"/>
          <w:iCs w:val="1"/>
          <w:sz w:val="24"/>
          <w:szCs w:val="24"/>
          <w:rtl w:val="0"/>
        </w:rPr>
        <w:t xml:space="preserve">Journal of Monetary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109</w:t>
      </w:r>
      <w:r w:rsidDel="00000000" w:rsidR="00000000" w:rsidRPr="00000000">
        <w:rPr>
          <w:rFonts w:ascii="Times New Roman" w:cs="Times New Roman" w:eastAsia="Times New Roman" w:hAnsi="Times New Roman"/>
          <w:sz w:val="24"/>
          <w:szCs w:val="24"/>
          <w:rtl w:val="0"/>
        </w:rPr>
        <w:t xml:space="preserve">(109), 38–59. https://doi.org/10.1016/j.jmoneco.2019.11.002</w:t>
      </w:r>
    </w:p>
    <w:p w:rsidR="00000000" w:rsidDel="00000000" w:rsidP="00000000" w:rsidRDefault="00000000" w:rsidRPr="00000000" w14:paraId="000001E6">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 L., Mohsin, M., Gao, Z., &amp; Taghizadeh-Hesary, F. (2023). Asymmetric impact of oil price on current account balance: Evidence from oil importing countries. </w:t>
      </w:r>
      <w:r w:rsidDel="00000000" w:rsidR="00000000" w:rsidRPr="00000000">
        <w:rPr>
          <w:rFonts w:ascii="Times New Roman" w:cs="Times New Roman" w:eastAsia="Times New Roman" w:hAnsi="Times New Roman"/>
          <w:i w:val="1"/>
          <w:iCs w:val="1"/>
          <w:sz w:val="24"/>
          <w:szCs w:val="24"/>
          <w:rtl w:val="0"/>
        </w:rPr>
        <w:t xml:space="preserve">Energy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123</w:t>
      </w:r>
      <w:r w:rsidDel="00000000" w:rsidR="00000000" w:rsidRPr="00000000">
        <w:rPr>
          <w:rFonts w:ascii="Times New Roman" w:cs="Times New Roman" w:eastAsia="Times New Roman" w:hAnsi="Times New Roman"/>
          <w:sz w:val="24"/>
          <w:szCs w:val="24"/>
          <w:rtl w:val="0"/>
        </w:rPr>
        <w:t xml:space="preserve">, 106749. https://doi.org/10.1016/j.eneco.2023.106749</w:t>
      </w:r>
    </w:p>
    <w:p w:rsidR="00000000" w:rsidDel="00000000" w:rsidP="00000000" w:rsidRDefault="00000000" w:rsidRPr="00000000" w14:paraId="000001E7">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Choi, M. S. (2020). A Predictive Effect of Exchange Rates on Value-Added Free Trade. </w:t>
      </w:r>
      <w:r w:rsidDel="00000000" w:rsidR="00000000" w:rsidRPr="00000000">
        <w:rPr>
          <w:rFonts w:ascii="Times New Roman" w:cs="Times New Roman" w:eastAsia="Times New Roman" w:hAnsi="Times New Roman"/>
          <w:i w:val="1"/>
          <w:iCs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(21), 9146. https://doi.org/10.3390/su12219146</w:t>
      </w:r>
    </w:p>
    <w:p w:rsidR="00000000" w:rsidDel="00000000" w:rsidP="00000000" w:rsidRDefault="00000000" w:rsidRPr="00000000" w14:paraId="000001E8">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Dilanchiev, A., &amp; Taktakishvili, T. (2022). Determinants of Bilateral Trade Balance Between Georgia and China. </w:t>
      </w:r>
      <w:r w:rsidDel="00000000" w:rsidR="00000000" w:rsidRPr="00000000">
        <w:rPr>
          <w:rFonts w:ascii="Times New Roman" w:cs="Times New Roman" w:eastAsia="Times New Roman" w:hAnsi="Times New Roman"/>
          <w:i w:val="1"/>
          <w:iCs w:val="1"/>
          <w:sz w:val="24"/>
          <w:szCs w:val="24"/>
          <w:rtl w:val="0"/>
        </w:rPr>
        <w:t xml:space="preserve">Ekonomika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101</w:t>
      </w:r>
      <w:r w:rsidDel="00000000" w:rsidR="00000000" w:rsidRPr="00000000">
        <w:rPr>
          <w:rFonts w:ascii="Times New Roman" w:cs="Times New Roman" w:eastAsia="Times New Roman" w:hAnsi="Times New Roman"/>
          <w:sz w:val="24"/>
          <w:szCs w:val="24"/>
          <w:rtl w:val="0"/>
        </w:rPr>
        <w:t xml:space="preserve">(1), 6–19. https://doi.org/10.15388/ekon.2022.101.1.1</w:t>
      </w:r>
    </w:p>
    <w:p w:rsidR="00000000" w:rsidDel="00000000" w:rsidP="00000000" w:rsidRDefault="00000000" w:rsidRPr="00000000" w14:paraId="000001E9">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Elfaki, M. A. E., &amp; Elsharif, M. S. B. (2025). Estimating the Effects of Oil Prices on Trade Balance in Saudi Arabia: Bounds Testing to Cointegration Approach. </w:t>
      </w:r>
      <w:r w:rsidDel="00000000" w:rsidR="00000000" w:rsidRPr="00000000">
        <w:rPr>
          <w:rFonts w:ascii="Times New Roman" w:cs="Times New Roman" w:eastAsia="Times New Roman" w:hAnsi="Times New Roman"/>
          <w:i w:val="1"/>
          <w:iCs w:val="1"/>
          <w:sz w:val="24"/>
          <w:szCs w:val="24"/>
          <w:rtl w:val="0"/>
        </w:rPr>
        <w:t xml:space="preserve">International Journal of Energy Economics and Policy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(2), 728–734. https://doi.org/10.32479/ijeep.18453</w:t>
      </w:r>
    </w:p>
    <w:p w:rsidR="00000000" w:rsidDel="00000000" w:rsidP="00000000" w:rsidRDefault="00000000" w:rsidRPr="00000000" w14:paraId="000001EA">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Falk, M. (2008). </w:t>
      </w:r>
      <w:r w:rsidDel="00000000" w:rsidR="00000000" w:rsidRPr="00000000">
        <w:rPr>
          <w:rFonts w:ascii="Times New Roman" w:cs="Times New Roman" w:eastAsia="Times New Roman" w:hAnsi="Times New Roman"/>
          <w:i w:val="1"/>
          <w:iCs w:val="1"/>
          <w:sz w:val="24"/>
          <w:szCs w:val="24"/>
          <w:rtl w:val="0"/>
        </w:rPr>
        <w:t xml:space="preserve">Determinants of the Trade Balance in Industrialized Countries</w:t>
      </w:r>
      <w:r w:rsidDel="00000000" w:rsidR="00000000" w:rsidRPr="00000000">
        <w:rPr>
          <w:rFonts w:ascii="Times New Roman" w:cs="Times New Roman" w:eastAsia="Times New Roman" w:hAnsi="Times New Roman"/>
          <w:sz w:val="24"/>
          <w:szCs w:val="24"/>
          <w:rtl w:val="0"/>
        </w:rPr>
        <w:t xml:space="preserve">. Www.econstor.eu. https://www.econstor.eu/handle/10419/121195</w:t>
      </w:r>
    </w:p>
    <w:p w:rsidR="00000000" w:rsidDel="00000000" w:rsidP="00000000" w:rsidRDefault="00000000" w:rsidRPr="00000000" w14:paraId="000001EB">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Furceri, D., Hannan, S. A., Ostry, J. D., &amp; Rose, A. K. (2020). Are Tariffs Bad for Growth? Yes, Say Five Decades of Data from 150 Countries. </w:t>
      </w:r>
      <w:r w:rsidDel="00000000" w:rsidR="00000000" w:rsidRPr="00000000">
        <w:rPr>
          <w:rFonts w:ascii="Times New Roman" w:cs="Times New Roman" w:eastAsia="Times New Roman" w:hAnsi="Times New Roman"/>
          <w:i w:val="1"/>
          <w:iCs w:val="1"/>
          <w:sz w:val="24"/>
          <w:szCs w:val="24"/>
          <w:rtl w:val="0"/>
        </w:rPr>
        <w:t xml:space="preserve">Journal of Policy Modeling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42</w:t>
      </w:r>
      <w:r w:rsidDel="00000000" w:rsidR="00000000" w:rsidRPr="00000000">
        <w:rPr>
          <w:rFonts w:ascii="Times New Roman" w:cs="Times New Roman" w:eastAsia="Times New Roman" w:hAnsi="Times New Roman"/>
          <w:sz w:val="24"/>
          <w:szCs w:val="24"/>
          <w:rtl w:val="0"/>
        </w:rPr>
        <w:t xml:space="preserve">(4). https://doi.org/10.1016/j.jpolmod.2020.03.009</w:t>
      </w:r>
    </w:p>
    <w:p w:rsidR="00000000" w:rsidDel="00000000" w:rsidP="00000000" w:rsidRDefault="00000000" w:rsidRPr="00000000" w14:paraId="000001EC">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Handley, K. (2014). Exporting under trade policy uncertainty: Theory and evidence. </w:t>
      </w:r>
      <w:r w:rsidDel="00000000" w:rsidR="00000000" w:rsidRPr="00000000">
        <w:rPr>
          <w:rFonts w:ascii="Times New Roman" w:cs="Times New Roman" w:eastAsia="Times New Roman" w:hAnsi="Times New Roman"/>
          <w:i w:val="1"/>
          <w:iCs w:val="1"/>
          <w:sz w:val="24"/>
          <w:szCs w:val="24"/>
          <w:rtl w:val="0"/>
        </w:rPr>
        <w:t xml:space="preserve">Journal of International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94</w:t>
      </w:r>
      <w:r w:rsidDel="00000000" w:rsidR="00000000" w:rsidRPr="00000000">
        <w:rPr>
          <w:rFonts w:ascii="Times New Roman" w:cs="Times New Roman" w:eastAsia="Times New Roman" w:hAnsi="Times New Roman"/>
          <w:sz w:val="24"/>
          <w:szCs w:val="24"/>
          <w:rtl w:val="0"/>
        </w:rPr>
        <w:t xml:space="preserve">(1), 50–66. https://doi.org/10.1016/j.jinteco.2014.05.005</w:t>
      </w:r>
    </w:p>
    <w:p w:rsidR="00000000" w:rsidDel="00000000" w:rsidP="00000000" w:rsidRDefault="00000000" w:rsidRPr="00000000" w14:paraId="000001ED">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Handley, K., &amp; Limão, N. (2022). Trade Policy Uncertainty. </w:t>
      </w:r>
      <w:r w:rsidDel="00000000" w:rsidR="00000000" w:rsidRPr="00000000">
        <w:rPr>
          <w:rFonts w:ascii="Times New Roman" w:cs="Times New Roman" w:eastAsia="Times New Roman" w:hAnsi="Times New Roman"/>
          <w:i w:val="1"/>
          <w:iCs w:val="1"/>
          <w:sz w:val="24"/>
          <w:szCs w:val="24"/>
          <w:rtl w:val="0"/>
        </w:rPr>
        <w:t xml:space="preserve">Annual Review of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(1). https://doi.org/10.1146/annurev-economics-021622-020416</w:t>
      </w:r>
    </w:p>
    <w:p w:rsidR="00000000" w:rsidDel="00000000" w:rsidP="00000000" w:rsidRDefault="00000000" w:rsidRPr="00000000" w14:paraId="000001EE">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IEA. (2023). </w:t>
      </w:r>
      <w:r w:rsidDel="00000000" w:rsidR="00000000" w:rsidRPr="00000000">
        <w:rPr>
          <w:rFonts w:ascii="Times New Roman" w:cs="Times New Roman" w:eastAsia="Times New Roman" w:hAnsi="Times New Roman"/>
          <w:i w:val="1"/>
          <w:iCs w:val="1"/>
          <w:sz w:val="24"/>
          <w:szCs w:val="24"/>
          <w:rtl w:val="0"/>
        </w:rPr>
        <w:t xml:space="preserve">Global energy system</w:t>
      </w:r>
      <w:r w:rsidDel="00000000" w:rsidR="00000000" w:rsidRPr="00000000">
        <w:rPr>
          <w:rFonts w:ascii="Times New Roman" w:cs="Times New Roman" w:eastAsia="Times New Roman" w:hAnsi="Times New Roman"/>
          <w:sz w:val="24"/>
          <w:szCs w:val="24"/>
          <w:rtl w:val="0"/>
        </w:rPr>
        <w:t xml:space="preserve">. IEA. https://www.iea.org/world</w:t>
      </w:r>
    </w:p>
    <w:p w:rsidR="00000000" w:rsidDel="00000000" w:rsidP="00000000" w:rsidRDefault="00000000" w:rsidRPr="00000000" w14:paraId="000001EF">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IEA. (2025, December 11). </w:t>
      </w:r>
      <w:r w:rsidDel="00000000" w:rsidR="00000000" w:rsidRPr="00000000">
        <w:rPr>
          <w:rFonts w:ascii="Times New Roman" w:cs="Times New Roman" w:eastAsia="Times New Roman" w:hAnsi="Times New Roman"/>
          <w:i w:val="1"/>
          <w:iCs w:val="1"/>
          <w:sz w:val="24"/>
          <w:szCs w:val="24"/>
          <w:rtl w:val="0"/>
        </w:rPr>
        <w:t xml:space="preserve">Oil Market Report - December 2025</w:t>
      </w:r>
      <w:r w:rsidDel="00000000" w:rsidR="00000000" w:rsidRPr="00000000">
        <w:rPr>
          <w:rFonts w:ascii="Times New Roman" w:cs="Times New Roman" w:eastAsia="Times New Roman" w:hAnsi="Times New Roman"/>
          <w:sz w:val="24"/>
          <w:szCs w:val="24"/>
          <w:rtl w:val="0"/>
        </w:rPr>
        <w:t xml:space="preserve">. IEA. https://www.iea.org/reports/oil-market-report-december-2025</w:t>
      </w:r>
    </w:p>
    <w:p w:rsidR="00000000" w:rsidDel="00000000" w:rsidP="00000000" w:rsidRDefault="00000000" w:rsidRPr="00000000" w14:paraId="000001F0">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Energy Agency. (2024, June 12). </w:t>
      </w:r>
      <w:r w:rsidDel="00000000" w:rsidR="00000000" w:rsidRPr="00000000">
        <w:rPr>
          <w:rFonts w:ascii="Times New Roman" w:cs="Times New Roman" w:eastAsia="Times New Roman" w:hAnsi="Times New Roman"/>
          <w:i w:val="1"/>
          <w:iCs w:val="1"/>
          <w:sz w:val="24"/>
          <w:szCs w:val="24"/>
          <w:rtl w:val="0"/>
        </w:rPr>
        <w:t xml:space="preserve">Slowing demand growth and surging supply put global oil markets on course for major surplus this decade - News</w:t>
      </w:r>
      <w:r w:rsidDel="00000000" w:rsidR="00000000" w:rsidRPr="00000000">
        <w:rPr>
          <w:rFonts w:ascii="Times New Roman" w:cs="Times New Roman" w:eastAsia="Times New Roman" w:hAnsi="Times New Roman"/>
          <w:sz w:val="24"/>
          <w:szCs w:val="24"/>
          <w:rtl w:val="0"/>
        </w:rPr>
        <w:t xml:space="preserve">. IEA. https://www.iea.org/news/slowing-demand-growth-and-surging-supply-put-global-oil-markets-on-course-for-major-surplus-this-decade</w:t>
      </w:r>
    </w:p>
    <w:p w:rsidR="00000000" w:rsidDel="00000000" w:rsidP="00000000" w:rsidRDefault="00000000" w:rsidRPr="00000000" w14:paraId="000001F1">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Jayathilaka, R., Jayawardhana, C., Embogama, N., Jayasooriya, S., Karunarathna, N., Gamage, T., &amp; Kuruppu, N. (2022). Gross domestic product and logistics performance index drive the world trade: A study based on all continents. </w:t>
      </w:r>
      <w:r w:rsidDel="00000000" w:rsidR="00000000" w:rsidRPr="00000000">
        <w:rPr>
          <w:rFonts w:ascii="Times New Roman" w:cs="Times New Roman" w:eastAsia="Times New Roman" w:hAnsi="Times New Roman"/>
          <w:i w:val="1"/>
          <w:iCs w:val="1"/>
          <w:sz w:val="24"/>
          <w:szCs w:val="24"/>
          <w:rtl w:val="0"/>
        </w:rPr>
        <w:t xml:space="preserve">PLOS ONE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(3), e0264474. https://doi.org/10.1371/journal.pone.0264474</w:t>
      </w:r>
    </w:p>
    <w:p w:rsidR="00000000" w:rsidDel="00000000" w:rsidP="00000000" w:rsidRDefault="00000000" w:rsidRPr="00000000" w14:paraId="000001F2">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Jolliffe, I. T., &amp; Cadima, J. (2016). Principal component analysis: a review and recent developments. </w:t>
      </w:r>
      <w:r w:rsidDel="00000000" w:rsidR="00000000" w:rsidRPr="00000000">
        <w:rPr>
          <w:rFonts w:ascii="Times New Roman" w:cs="Times New Roman" w:eastAsia="Times New Roman" w:hAnsi="Times New Roman"/>
          <w:i w:val="1"/>
          <w:iCs w:val="1"/>
          <w:sz w:val="24"/>
          <w:szCs w:val="24"/>
          <w:rtl w:val="0"/>
        </w:rPr>
        <w:t xml:space="preserve">Philosophical Transactions of the Royal Society A: Mathematical, Physical and Engineering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374</w:t>
      </w:r>
      <w:r w:rsidDel="00000000" w:rsidR="00000000" w:rsidRPr="00000000">
        <w:rPr>
          <w:rFonts w:ascii="Times New Roman" w:cs="Times New Roman" w:eastAsia="Times New Roman" w:hAnsi="Times New Roman"/>
          <w:sz w:val="24"/>
          <w:szCs w:val="24"/>
          <w:rtl w:val="0"/>
        </w:rPr>
        <w:t xml:space="preserve">(2065), 20150202. https://doi.org/10.1098/rsta.2015.0202</w:t>
      </w:r>
    </w:p>
    <w:p w:rsidR="00000000" w:rsidDel="00000000" w:rsidP="00000000" w:rsidRDefault="00000000" w:rsidRPr="00000000" w14:paraId="000001F3">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Kaushik, K., &amp; Shastri, S. (2024). Oil prices, renewable energy consumption and trade balance nexus: empirical evidence from Indian economy. </w:t>
      </w:r>
      <w:r w:rsidDel="00000000" w:rsidR="00000000" w:rsidRPr="00000000">
        <w:rPr>
          <w:rFonts w:ascii="Times New Roman" w:cs="Times New Roman" w:eastAsia="Times New Roman" w:hAnsi="Times New Roman"/>
          <w:i w:val="1"/>
          <w:iCs w:val="1"/>
          <w:sz w:val="24"/>
          <w:szCs w:val="24"/>
          <w:rtl w:val="0"/>
        </w:rPr>
        <w:t xml:space="preserve">Sustainability Accounting, Management and Policy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(3), 731–751. https://doi.org/10.1108/sampj-03-2023-0115</w:t>
      </w:r>
    </w:p>
    <w:p w:rsidR="00000000" w:rsidDel="00000000" w:rsidP="00000000" w:rsidRDefault="00000000" w:rsidRPr="00000000" w14:paraId="000001F4">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Khan, M. A., Husnain, M. I. U., Abbas, Q., &amp; Shah, S. Z. A. (2018). Asymmetric effects of oil price shocks on Asian economies: a nonlinear analysis. </w:t>
      </w:r>
      <w:r w:rsidDel="00000000" w:rsidR="00000000" w:rsidRPr="00000000">
        <w:rPr>
          <w:rFonts w:ascii="Times New Roman" w:cs="Times New Roman" w:eastAsia="Times New Roman" w:hAnsi="Times New Roman"/>
          <w:i w:val="1"/>
          <w:iCs w:val="1"/>
          <w:sz w:val="24"/>
          <w:szCs w:val="24"/>
          <w:rtl w:val="0"/>
        </w:rPr>
        <w:t xml:space="preserve">Empirical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57</w:t>
      </w:r>
      <w:r w:rsidDel="00000000" w:rsidR="00000000" w:rsidRPr="00000000">
        <w:rPr>
          <w:rFonts w:ascii="Times New Roman" w:cs="Times New Roman" w:eastAsia="Times New Roman" w:hAnsi="Times New Roman"/>
          <w:sz w:val="24"/>
          <w:szCs w:val="24"/>
          <w:rtl w:val="0"/>
        </w:rPr>
        <w:t xml:space="preserve">(4), 1319–1350. https://doi.org/10.1007/s00181-018-1487-7</w:t>
      </w:r>
    </w:p>
    <w:p w:rsidR="00000000" w:rsidDel="00000000" w:rsidP="00000000" w:rsidRDefault="00000000" w:rsidRPr="00000000" w14:paraId="000001F5">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Kilian, L., Rebucci, A., &amp; Spatafora, N. (2009). Oil shocks and external balances. </w:t>
      </w:r>
      <w:r w:rsidDel="00000000" w:rsidR="00000000" w:rsidRPr="00000000">
        <w:rPr>
          <w:rFonts w:ascii="Times New Roman" w:cs="Times New Roman" w:eastAsia="Times New Roman" w:hAnsi="Times New Roman"/>
          <w:i w:val="1"/>
          <w:iCs w:val="1"/>
          <w:sz w:val="24"/>
          <w:szCs w:val="24"/>
          <w:rtl w:val="0"/>
        </w:rPr>
        <w:t xml:space="preserve">Journal of International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77</w:t>
      </w:r>
      <w:r w:rsidDel="00000000" w:rsidR="00000000" w:rsidRPr="00000000">
        <w:rPr>
          <w:rFonts w:ascii="Times New Roman" w:cs="Times New Roman" w:eastAsia="Times New Roman" w:hAnsi="Times New Roman"/>
          <w:sz w:val="24"/>
          <w:szCs w:val="24"/>
          <w:rtl w:val="0"/>
        </w:rPr>
        <w:t xml:space="preserve">(2), 181–194. https://doi.org/10.1016/j.jinteco.2009.01.001</w:t>
      </w:r>
    </w:p>
    <w:p w:rsidR="00000000" w:rsidDel="00000000" w:rsidP="00000000" w:rsidRDefault="00000000" w:rsidRPr="00000000" w14:paraId="000001F6">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Kocaaslan, O. K. (2019). Oil price uncertainty and unemployment. </w:t>
      </w:r>
      <w:r w:rsidDel="00000000" w:rsidR="00000000" w:rsidRPr="00000000">
        <w:rPr>
          <w:rFonts w:ascii="Times New Roman" w:cs="Times New Roman" w:eastAsia="Times New Roman" w:hAnsi="Times New Roman"/>
          <w:i w:val="1"/>
          <w:iCs w:val="1"/>
          <w:sz w:val="24"/>
          <w:szCs w:val="24"/>
          <w:rtl w:val="0"/>
        </w:rPr>
        <w:t xml:space="preserve">Energy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81</w:t>
      </w:r>
      <w:r w:rsidDel="00000000" w:rsidR="00000000" w:rsidRPr="00000000">
        <w:rPr>
          <w:rFonts w:ascii="Times New Roman" w:cs="Times New Roman" w:eastAsia="Times New Roman" w:hAnsi="Times New Roman"/>
          <w:sz w:val="24"/>
          <w:szCs w:val="24"/>
          <w:rtl w:val="0"/>
        </w:rPr>
        <w:t xml:space="preserve">, 577–583. https://doi.org/10.1016/j.eneco.2019.04.021</w:t>
      </w:r>
    </w:p>
    <w:p w:rsidR="00000000" w:rsidDel="00000000" w:rsidP="00000000" w:rsidRDefault="00000000" w:rsidRPr="00000000" w14:paraId="000001F7">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T.-H., &amp; Chang, Y. (2013). Oil price shocks and trade imbalances. </w:t>
      </w:r>
      <w:r w:rsidDel="00000000" w:rsidR="00000000" w:rsidRPr="00000000">
        <w:rPr>
          <w:rFonts w:ascii="Times New Roman" w:cs="Times New Roman" w:eastAsia="Times New Roman" w:hAnsi="Times New Roman"/>
          <w:i w:val="1"/>
          <w:iCs w:val="1"/>
          <w:sz w:val="24"/>
          <w:szCs w:val="24"/>
          <w:rtl w:val="0"/>
        </w:rPr>
        <w:t xml:space="preserve">Energy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36</w:t>
      </w:r>
      <w:r w:rsidDel="00000000" w:rsidR="00000000" w:rsidRPr="00000000">
        <w:rPr>
          <w:rFonts w:ascii="Times New Roman" w:cs="Times New Roman" w:eastAsia="Times New Roman" w:hAnsi="Times New Roman"/>
          <w:sz w:val="24"/>
          <w:szCs w:val="24"/>
          <w:rtl w:val="0"/>
        </w:rPr>
        <w:t xml:space="preserve">, 78–96. https://doi.org/10.1016/j.eneco.2012.12.002</w:t>
      </w:r>
    </w:p>
    <w:p w:rsidR="00000000" w:rsidDel="00000000" w:rsidP="00000000" w:rsidRDefault="00000000" w:rsidRPr="00000000" w14:paraId="000001F8">
      <w:pPr>
        <w:spacing w:line="240" w:lineRule="auto"/>
        <w:ind w:left="709" w:hanging="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Lerner, A. P. (1944). The Economics of Control: Principles of Welfare Economics. </w:t>
      </w:r>
    </w:p>
    <w:p w:rsidR="00000000" w:rsidDel="00000000" w:rsidP="00000000" w:rsidRDefault="00000000" w:rsidRPr="00000000" w14:paraId="000001F9">
      <w:pPr>
        <w:spacing w:line="24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Macmillan, London.</w:t>
      </w:r>
      <w:r w:rsidDel="00000000" w:rsidR="00000000" w:rsidRPr="00000000">
        <w:rPr>
          <w:rtl w:val="0"/>
        </w:rPr>
      </w:r>
    </w:p>
    <w:p w:rsidR="00000000" w:rsidDel="00000000" w:rsidP="00000000" w:rsidRDefault="00000000" w:rsidRPr="00000000" w14:paraId="000001FA">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Lindé, J., &amp; Pescatori, A. (2019). The macroeconomic effects of trade tariffs: Revisiting the Lerner symmetry result. </w:t>
      </w:r>
      <w:r w:rsidDel="00000000" w:rsidR="00000000" w:rsidRPr="00000000">
        <w:rPr>
          <w:rFonts w:ascii="Times New Roman" w:cs="Times New Roman" w:eastAsia="Times New Roman" w:hAnsi="Times New Roman"/>
          <w:i w:val="1"/>
          <w:iCs w:val="1"/>
          <w:sz w:val="24"/>
          <w:szCs w:val="24"/>
          <w:rtl w:val="0"/>
        </w:rPr>
        <w:t xml:space="preserve">Journal of International Money and Finance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95</w:t>
      </w:r>
      <w:r w:rsidDel="00000000" w:rsidR="00000000" w:rsidRPr="00000000">
        <w:rPr>
          <w:rFonts w:ascii="Times New Roman" w:cs="Times New Roman" w:eastAsia="Times New Roman" w:hAnsi="Times New Roman"/>
          <w:sz w:val="24"/>
          <w:szCs w:val="24"/>
          <w:rtl w:val="0"/>
        </w:rPr>
        <w:t xml:space="preserve">, 52–69. https://doi.org/10.1016/j.jimonfin.2019.01.019</w:t>
      </w:r>
    </w:p>
    <w:p w:rsidR="00000000" w:rsidDel="00000000" w:rsidP="00000000" w:rsidRDefault="00000000" w:rsidRPr="00000000" w14:paraId="000001FB">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Lumayung, G. A., Lubis, F. R. A., Fadilah, N. N., Faudzi, M., &amp; Sukarniati, L. (2023). The Effect of GDP, FDI, and Inflation to Trade Balance in 12 APEC Countries. </w:t>
      </w:r>
      <w:r w:rsidDel="00000000" w:rsidR="00000000" w:rsidRPr="00000000">
        <w:rPr>
          <w:rFonts w:ascii="Times New Roman" w:cs="Times New Roman" w:eastAsia="Times New Roman" w:hAnsi="Times New Roman"/>
          <w:i w:val="1"/>
          <w:iCs w:val="1"/>
          <w:sz w:val="24"/>
          <w:szCs w:val="24"/>
          <w:rtl w:val="0"/>
        </w:rPr>
        <w:t xml:space="preserve">KnE Social Sciences</w:t>
      </w:r>
      <w:r w:rsidDel="00000000" w:rsidR="00000000" w:rsidRPr="00000000">
        <w:rPr>
          <w:rFonts w:ascii="Times New Roman" w:cs="Times New Roman" w:eastAsia="Times New Roman" w:hAnsi="Times New Roman"/>
          <w:sz w:val="24"/>
          <w:szCs w:val="24"/>
          <w:rtl w:val="0"/>
        </w:rPr>
        <w:t xml:space="preserve">, 668–679. https://doi.org/10.18502/kss.v9i4.15110</w:t>
      </w:r>
    </w:p>
    <w:p w:rsidR="00000000" w:rsidDel="00000000" w:rsidP="00000000" w:rsidRDefault="00000000" w:rsidRPr="00000000" w14:paraId="000001FC">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Martchamadol, J., &amp; Kumar, S. (2012). Thailand’s energy security indicators. </w:t>
      </w:r>
      <w:r w:rsidDel="00000000" w:rsidR="00000000" w:rsidRPr="00000000">
        <w:rPr>
          <w:rFonts w:ascii="Times New Roman" w:cs="Times New Roman" w:eastAsia="Times New Roman" w:hAnsi="Times New Roman"/>
          <w:i w:val="1"/>
          <w:iCs w:val="1"/>
          <w:sz w:val="24"/>
          <w:szCs w:val="24"/>
          <w:rtl w:val="0"/>
        </w:rPr>
        <w:t xml:space="preserve">Renewable and Sustainable Energy Reviews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16</w:t>
      </w:r>
      <w:r w:rsidDel="00000000" w:rsidR="00000000" w:rsidRPr="00000000">
        <w:rPr>
          <w:rFonts w:ascii="Times New Roman" w:cs="Times New Roman" w:eastAsia="Times New Roman" w:hAnsi="Times New Roman"/>
          <w:sz w:val="24"/>
          <w:szCs w:val="24"/>
          <w:rtl w:val="0"/>
        </w:rPr>
        <w:t xml:space="preserve">(8), 6103–6122. https://doi.org/10.1016/j.rser.2012.06.021</w:t>
      </w:r>
    </w:p>
    <w:p w:rsidR="00000000" w:rsidDel="00000000" w:rsidP="00000000" w:rsidRDefault="00000000" w:rsidRPr="00000000" w14:paraId="000001FD">
      <w:pPr>
        <w:spacing w:line="24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Marshall, A.(1923). Money, Credit and Commerce. Macmillan &amp; Company, London.</w:t>
      </w:r>
      <w:r w:rsidDel="00000000" w:rsidR="00000000" w:rsidRPr="00000000">
        <w:rPr>
          <w:rtl w:val="0"/>
        </w:rPr>
      </w:r>
    </w:p>
    <w:p w:rsidR="00000000" w:rsidDel="00000000" w:rsidP="00000000" w:rsidRDefault="00000000" w:rsidRPr="00000000" w14:paraId="000001FE">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Mili, A. (2019). The impact of oil prices on the trade balance of South Africa. </w:t>
      </w:r>
      <w:r w:rsidDel="00000000" w:rsidR="00000000" w:rsidRPr="00000000">
        <w:rPr>
          <w:rFonts w:ascii="Times New Roman" w:cs="Times New Roman" w:eastAsia="Times New Roman" w:hAnsi="Times New Roman"/>
          <w:i w:val="1"/>
          <w:iCs w:val="1"/>
          <w:sz w:val="24"/>
          <w:szCs w:val="24"/>
          <w:rtl w:val="0"/>
        </w:rPr>
        <w:t xml:space="preserve">EuroEconomica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(1). https://journals.univ-danubius.ro/index.php/euroeconomica/article/view/4791/4970</w:t>
      </w:r>
    </w:p>
    <w:p w:rsidR="00000000" w:rsidDel="00000000" w:rsidP="00000000" w:rsidRDefault="00000000" w:rsidRPr="00000000" w14:paraId="000001FF">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Nashi, R., &amp; Ouakil, H. (2024). Energy price shocks and current account balances: What role for economic structure, energy dependency and renewable energy development? </w:t>
      </w:r>
      <w:r w:rsidDel="00000000" w:rsidR="00000000" w:rsidRPr="00000000">
        <w:rPr>
          <w:rFonts w:ascii="Times New Roman" w:cs="Times New Roman" w:eastAsia="Times New Roman" w:hAnsi="Times New Roman"/>
          <w:i w:val="1"/>
          <w:iCs w:val="1"/>
          <w:sz w:val="24"/>
          <w:szCs w:val="24"/>
          <w:rtl w:val="0"/>
        </w:rPr>
        <w:t xml:space="preserve">Sustainable Futures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 100402. https://doi.org/10.1016/j.sftr.2024.100402</w:t>
      </w:r>
    </w:p>
    <w:p w:rsidR="00000000" w:rsidDel="00000000" w:rsidP="00000000" w:rsidRDefault="00000000" w:rsidRPr="00000000" w14:paraId="00000200">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Ogbonna, O. E., &amp; Ichoku, H. E. (2022). Symmetric or asymmetric: how is Nigeria’s bilateral trade balance responding to oil price and exchange rate changes? </w:t>
      </w:r>
      <w:r w:rsidDel="00000000" w:rsidR="00000000" w:rsidRPr="00000000">
        <w:rPr>
          <w:rFonts w:ascii="Times New Roman" w:cs="Times New Roman" w:eastAsia="Times New Roman" w:hAnsi="Times New Roman"/>
          <w:i w:val="1"/>
          <w:iCs w:val="1"/>
          <w:sz w:val="24"/>
          <w:szCs w:val="24"/>
          <w:rtl w:val="0"/>
        </w:rPr>
        <w:t xml:space="preserve">Journal of Economic Studies</w:t>
      </w:r>
      <w:r w:rsidDel="00000000" w:rsidR="00000000" w:rsidRPr="00000000">
        <w:rPr>
          <w:rFonts w:ascii="Times New Roman" w:cs="Times New Roman" w:eastAsia="Times New Roman" w:hAnsi="Times New Roman"/>
          <w:sz w:val="24"/>
          <w:szCs w:val="24"/>
          <w:rtl w:val="0"/>
        </w:rPr>
        <w:t xml:space="preserve">. https://doi.org/10.1108/jes-10-2021-0537</w:t>
      </w:r>
    </w:p>
    <w:p w:rsidR="00000000" w:rsidDel="00000000" w:rsidP="00000000" w:rsidRDefault="00000000" w:rsidRPr="00000000" w14:paraId="00000201">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Osnago, A., Piermartini, R., &amp; Rocha, N. (2015). </w:t>
      </w:r>
      <w:r w:rsidDel="00000000" w:rsidR="00000000" w:rsidRPr="00000000">
        <w:rPr>
          <w:rFonts w:ascii="Times New Roman" w:cs="Times New Roman" w:eastAsia="Times New Roman" w:hAnsi="Times New Roman"/>
          <w:i w:val="1"/>
          <w:iCs w:val="1"/>
          <w:sz w:val="24"/>
          <w:szCs w:val="24"/>
          <w:rtl w:val="0"/>
        </w:rPr>
        <w:t xml:space="preserve">Trade policy uncertainty as barrier to trade</w:t>
      </w:r>
      <w:r w:rsidDel="00000000" w:rsidR="00000000" w:rsidRPr="00000000">
        <w:rPr>
          <w:rFonts w:ascii="Times New Roman" w:cs="Times New Roman" w:eastAsia="Times New Roman" w:hAnsi="Times New Roman"/>
          <w:sz w:val="24"/>
          <w:szCs w:val="24"/>
          <w:rtl w:val="0"/>
        </w:rPr>
        <w:t xml:space="preserve">. Www.econstor.eu. https://www.econstor.eu/handle/10419/110980</w:t>
      </w:r>
    </w:p>
    <w:p w:rsidR="00000000" w:rsidDel="00000000" w:rsidP="00000000" w:rsidRDefault="00000000" w:rsidRPr="00000000" w14:paraId="00000202">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 L., Amin, A., Zhu, N., Chandio, A. A., Naminse, E. Y., &amp; Shah, A. H. (2022). Exploring the Asymmetrical Influence of Economic Growth, Oil Price, Consumer Price Index and Industrial Production on the Trade Deficit in China. </w:t>
      </w:r>
      <w:r w:rsidDel="00000000" w:rsidR="00000000" w:rsidRPr="00000000">
        <w:rPr>
          <w:rFonts w:ascii="Times New Roman" w:cs="Times New Roman" w:eastAsia="Times New Roman" w:hAnsi="Times New Roman"/>
          <w:i w:val="1"/>
          <w:iCs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(23), 15534. https://doi.org/10.3390/su142315534</w:t>
      </w:r>
    </w:p>
    <w:p w:rsidR="00000000" w:rsidDel="00000000" w:rsidP="00000000" w:rsidRDefault="00000000" w:rsidRPr="00000000" w14:paraId="00000203">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Porter, M. (1990). The Competitive Advantage of Nations. </w:t>
      </w:r>
      <w:r w:rsidDel="00000000" w:rsidR="00000000" w:rsidRPr="00000000">
        <w:rPr>
          <w:rFonts w:ascii="Times New Roman" w:cs="Times New Roman" w:eastAsia="Times New Roman" w:hAnsi="Times New Roman"/>
          <w:i w:val="1"/>
          <w:iCs w:val="1"/>
          <w:sz w:val="24"/>
          <w:szCs w:val="24"/>
          <w:rtl w:val="0"/>
        </w:rPr>
        <w:t xml:space="preserve">Competitive Intelligence Review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(1). https://economie.ens.psl.eu/IMG/pdf/porter_1990_-_the_competitive_advantage_of_nations.pdf</w:t>
      </w:r>
    </w:p>
    <w:p w:rsidR="00000000" w:rsidDel="00000000" w:rsidP="00000000" w:rsidRDefault="00000000" w:rsidRPr="00000000" w14:paraId="00000204">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Rong, G., &amp; Qamruzzaman, M. (2022). Symmetric and asymmetric nexus between economic policy uncertainty, oil price, and renewable energy consumption in the United States, China, India, Japan, and South Korea: Does technological innovation influence? </w:t>
      </w:r>
      <w:r w:rsidDel="00000000" w:rsidR="00000000" w:rsidRPr="00000000">
        <w:rPr>
          <w:rFonts w:ascii="Times New Roman" w:cs="Times New Roman" w:eastAsia="Times New Roman" w:hAnsi="Times New Roman"/>
          <w:i w:val="1"/>
          <w:iCs w:val="1"/>
          <w:sz w:val="24"/>
          <w:szCs w:val="24"/>
          <w:rtl w:val="0"/>
        </w:rPr>
        <w:t xml:space="preserve">Frontiers in Energy Research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 https://doi.org/10.3389/fenrg.2022.973557</w:t>
      </w:r>
    </w:p>
    <w:p w:rsidR="00000000" w:rsidDel="00000000" w:rsidP="00000000" w:rsidRDefault="00000000" w:rsidRPr="00000000" w14:paraId="00000205">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Sanyal, A. (2025). Caught in the crossfire: How trade policy uncertainty impacts global trade. </w:t>
      </w:r>
      <w:r w:rsidDel="00000000" w:rsidR="00000000" w:rsidRPr="00000000">
        <w:rPr>
          <w:rFonts w:ascii="Times New Roman" w:cs="Times New Roman" w:eastAsia="Times New Roman" w:hAnsi="Times New Roman"/>
          <w:i w:val="1"/>
          <w:iCs w:val="1"/>
          <w:sz w:val="24"/>
          <w:szCs w:val="24"/>
          <w:rtl w:val="0"/>
        </w:rPr>
        <w:t xml:space="preserve">International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184</w:t>
      </w:r>
      <w:r w:rsidDel="00000000" w:rsidR="00000000" w:rsidRPr="00000000">
        <w:rPr>
          <w:rFonts w:ascii="Times New Roman" w:cs="Times New Roman" w:eastAsia="Times New Roman" w:hAnsi="Times New Roman"/>
          <w:sz w:val="24"/>
          <w:szCs w:val="24"/>
          <w:rtl w:val="0"/>
        </w:rPr>
        <w:t xml:space="preserve">, 100621. https://doi.org/10.1016/j.inteco.2025.100621</w:t>
      </w:r>
    </w:p>
    <w:p w:rsidR="00000000" w:rsidDel="00000000" w:rsidP="00000000" w:rsidRDefault="00000000" w:rsidRPr="00000000" w14:paraId="00000206">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Serdar Ongan, &amp; Ismet Gocer. (2021). The Impacts of Trade Policy Uncertainties on Bilateral Trade Balances of the United States and Japan. </w:t>
      </w:r>
      <w:r w:rsidDel="00000000" w:rsidR="00000000" w:rsidRPr="00000000">
        <w:rPr>
          <w:rFonts w:ascii="Times New Roman" w:cs="Times New Roman" w:eastAsia="Times New Roman" w:hAnsi="Times New Roman"/>
          <w:i w:val="1"/>
          <w:iCs w:val="1"/>
          <w:sz w:val="24"/>
          <w:szCs w:val="24"/>
          <w:rtl w:val="0"/>
        </w:rPr>
        <w:t xml:space="preserve">Economic Papers a Journal of Applied Economics and Policy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40</w:t>
      </w:r>
      <w:r w:rsidDel="00000000" w:rsidR="00000000" w:rsidRPr="00000000">
        <w:rPr>
          <w:rFonts w:ascii="Times New Roman" w:cs="Times New Roman" w:eastAsia="Times New Roman" w:hAnsi="Times New Roman"/>
          <w:sz w:val="24"/>
          <w:szCs w:val="24"/>
          <w:rtl w:val="0"/>
        </w:rPr>
        <w:t xml:space="preserve">(3), 236–247. https://doi.org/10.1111/1759-3441.12313</w:t>
      </w:r>
    </w:p>
    <w:p w:rsidR="00000000" w:rsidDel="00000000" w:rsidP="00000000" w:rsidRDefault="00000000" w:rsidRPr="00000000" w14:paraId="00000207">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Shen, Y., Shi, X., Zhao, Z., Grafton, R. Q., Yu, J., &amp; Shan, Y. (2024). Quantifying energy transition vulnerability helps more just and inclusive decarbonization. </w:t>
      </w:r>
      <w:r w:rsidDel="00000000" w:rsidR="00000000" w:rsidRPr="00000000">
        <w:rPr>
          <w:rFonts w:ascii="Times New Roman" w:cs="Times New Roman" w:eastAsia="Times New Roman" w:hAnsi="Times New Roman"/>
          <w:i w:val="1"/>
          <w:iCs w:val="1"/>
          <w:sz w:val="24"/>
          <w:szCs w:val="24"/>
          <w:rtl w:val="0"/>
        </w:rPr>
        <w:t xml:space="preserve">PNAS Nexus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(10). https://doi.org/10.1093/pnasnexus/pgae427</w:t>
      </w:r>
    </w:p>
    <w:p w:rsidR="00000000" w:rsidDel="00000000" w:rsidP="00000000" w:rsidRDefault="00000000" w:rsidRPr="00000000" w14:paraId="00000208">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Sovacool, B. K. (2013). An international assessment of energy security performance. </w:t>
      </w:r>
      <w:r w:rsidDel="00000000" w:rsidR="00000000" w:rsidRPr="00000000">
        <w:rPr>
          <w:rFonts w:ascii="Times New Roman" w:cs="Times New Roman" w:eastAsia="Times New Roman" w:hAnsi="Times New Roman"/>
          <w:i w:val="1"/>
          <w:iCs w:val="1"/>
          <w:sz w:val="24"/>
          <w:szCs w:val="24"/>
          <w:rtl w:val="0"/>
        </w:rPr>
        <w:t xml:space="preserve">Ecological Economics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88</w:t>
      </w:r>
      <w:r w:rsidDel="00000000" w:rsidR="00000000" w:rsidRPr="00000000">
        <w:rPr>
          <w:rFonts w:ascii="Times New Roman" w:cs="Times New Roman" w:eastAsia="Times New Roman" w:hAnsi="Times New Roman"/>
          <w:sz w:val="24"/>
          <w:szCs w:val="24"/>
          <w:rtl w:val="0"/>
        </w:rPr>
        <w:t xml:space="preserve">, 148–158. https://doi.org/10.1016/j.ecolecon.2013.01.019</w:t>
      </w:r>
    </w:p>
    <w:p w:rsidR="00000000" w:rsidDel="00000000" w:rsidP="00000000" w:rsidRDefault="00000000" w:rsidRPr="00000000" w14:paraId="00000209">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Sovacool, B. K., &amp; Mukherjee, I. (2011). Conceptualizing and measuring energy security: A synthesized approach. </w:t>
      </w:r>
      <w:r w:rsidDel="00000000" w:rsidR="00000000" w:rsidRPr="00000000">
        <w:rPr>
          <w:rFonts w:ascii="Times New Roman" w:cs="Times New Roman" w:eastAsia="Times New Roman" w:hAnsi="Times New Roman"/>
          <w:i w:val="1"/>
          <w:iCs w:val="1"/>
          <w:sz w:val="24"/>
          <w:szCs w:val="24"/>
          <w:rtl w:val="0"/>
        </w:rPr>
        <w:t xml:space="preserve">Energy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36</w:t>
      </w:r>
      <w:r w:rsidDel="00000000" w:rsidR="00000000" w:rsidRPr="00000000">
        <w:rPr>
          <w:rFonts w:ascii="Times New Roman" w:cs="Times New Roman" w:eastAsia="Times New Roman" w:hAnsi="Times New Roman"/>
          <w:sz w:val="24"/>
          <w:szCs w:val="24"/>
          <w:rtl w:val="0"/>
        </w:rPr>
        <w:t xml:space="preserve">(8), 5343–5355. https://doi.org/10.1016/j.energy.2011.06.043</w:t>
      </w:r>
    </w:p>
    <w:p w:rsidR="00000000" w:rsidDel="00000000" w:rsidP="00000000" w:rsidRDefault="00000000" w:rsidRPr="00000000" w14:paraId="0000020A">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Stigler, G. J., &amp; Lerner, A. P. (1945). The Economics of Control: Principles of Welfare Economics. </w:t>
      </w:r>
      <w:r w:rsidDel="00000000" w:rsidR="00000000" w:rsidRPr="00000000">
        <w:rPr>
          <w:rFonts w:ascii="Times New Roman" w:cs="Times New Roman" w:eastAsia="Times New Roman" w:hAnsi="Times New Roman"/>
          <w:i w:val="1"/>
          <w:iCs w:val="1"/>
          <w:sz w:val="24"/>
          <w:szCs w:val="24"/>
          <w:rtl w:val="0"/>
        </w:rPr>
        <w:t xml:space="preserve">Political Science Quarterly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60</w:t>
      </w:r>
      <w:r w:rsidDel="00000000" w:rsidR="00000000" w:rsidRPr="00000000">
        <w:rPr>
          <w:rFonts w:ascii="Times New Roman" w:cs="Times New Roman" w:eastAsia="Times New Roman" w:hAnsi="Times New Roman"/>
          <w:sz w:val="24"/>
          <w:szCs w:val="24"/>
          <w:rtl w:val="0"/>
        </w:rPr>
        <w:t xml:space="preserve">(1), 113. https://doi.org/10.2307/2144462</w:t>
      </w:r>
    </w:p>
    <w:p w:rsidR="00000000" w:rsidDel="00000000" w:rsidP="00000000" w:rsidRDefault="00000000" w:rsidRPr="00000000" w14:paraId="0000020B">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Turner, B. L., Kasperson, R. E., Matson, P. A., McCarthy, J. J., Corell, R. W., Christensen, L., Eckley, N., Kasperson, J. X., Luers, A., Martello, M. L., Polsky, C., Pulsipher, A., &amp; Schiller, A. (2003). A framework for vulnerability analysis in sustainability science. </w:t>
      </w:r>
      <w:r w:rsidDel="00000000" w:rsidR="00000000" w:rsidRPr="00000000">
        <w:rPr>
          <w:rFonts w:ascii="Times New Roman" w:cs="Times New Roman" w:eastAsia="Times New Roman" w:hAnsi="Times New Roman"/>
          <w:i w:val="1"/>
          <w:iCs w:val="1"/>
          <w:sz w:val="24"/>
          <w:szCs w:val="24"/>
          <w:rtl w:val="0"/>
        </w:rPr>
        <w:t xml:space="preserve">Proceedings of the National Academy of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100</w:t>
      </w:r>
      <w:r w:rsidDel="00000000" w:rsidR="00000000" w:rsidRPr="00000000">
        <w:rPr>
          <w:rFonts w:ascii="Times New Roman" w:cs="Times New Roman" w:eastAsia="Times New Roman" w:hAnsi="Times New Roman"/>
          <w:sz w:val="24"/>
          <w:szCs w:val="24"/>
          <w:rtl w:val="0"/>
        </w:rPr>
        <w:t xml:space="preserve">(14), 8074–8079. https://doi.org/10.1073/pnas.1231335100</w:t>
      </w:r>
    </w:p>
    <w:p w:rsidR="00000000" w:rsidDel="00000000" w:rsidP="00000000" w:rsidRDefault="00000000" w:rsidRPr="00000000" w14:paraId="0000020C">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UNCTAD. (2021). </w:t>
      </w:r>
      <w:r w:rsidDel="00000000" w:rsidR="00000000" w:rsidRPr="00000000">
        <w:rPr>
          <w:rFonts w:ascii="Times New Roman" w:cs="Times New Roman" w:eastAsia="Times New Roman" w:hAnsi="Times New Roman"/>
          <w:i w:val="1"/>
          <w:iCs w:val="1"/>
          <w:sz w:val="24"/>
          <w:szCs w:val="24"/>
          <w:rtl w:val="0"/>
        </w:rPr>
        <w:t xml:space="preserve">The Least Developed Countries Report 2021</w:t>
      </w:r>
      <w:r w:rsidDel="00000000" w:rsidR="00000000" w:rsidRPr="00000000">
        <w:rPr>
          <w:rFonts w:ascii="Times New Roman" w:cs="Times New Roman" w:eastAsia="Times New Roman" w:hAnsi="Times New Roman"/>
          <w:sz w:val="24"/>
          <w:szCs w:val="24"/>
          <w:rtl w:val="0"/>
        </w:rPr>
        <w:t xml:space="preserve">. UNCTAD. https://unctad.org/publication/least-developed-countries-report-2021</w:t>
      </w:r>
    </w:p>
    <w:p w:rsidR="00000000" w:rsidDel="00000000" w:rsidP="00000000" w:rsidRDefault="00000000" w:rsidRPr="00000000" w14:paraId="0000020D">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Ufi, M. O., Omotayo Emmanuel Olanipekun, &amp; Uzochukwudinma Awele Otakpor. (2025). Analysis of Trade Balance Dynamics under the Influence of Structural Adjustment Mechanisms. </w:t>
      </w:r>
      <w:r w:rsidDel="00000000" w:rsidR="00000000" w:rsidRPr="00000000">
        <w:rPr>
          <w:rFonts w:ascii="Times New Roman" w:cs="Times New Roman" w:eastAsia="Times New Roman" w:hAnsi="Times New Roman"/>
          <w:i w:val="1"/>
          <w:iCs w:val="1"/>
          <w:sz w:val="24"/>
          <w:szCs w:val="24"/>
          <w:rtl w:val="0"/>
        </w:rPr>
        <w:t xml:space="preserve">Deleted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(1). https://doi.org/10.59652/jeime.v3i1.441</w:t>
      </w:r>
    </w:p>
    <w:p w:rsidR="00000000" w:rsidDel="00000000" w:rsidP="00000000" w:rsidRDefault="00000000" w:rsidRPr="00000000" w14:paraId="0000020E">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F., &amp; Wu, M. (2023). How does trade policy uncertainty affect China’s economy and energy? </w:t>
      </w:r>
      <w:r w:rsidDel="00000000" w:rsidR="00000000" w:rsidRPr="00000000">
        <w:rPr>
          <w:rFonts w:ascii="Times New Roman" w:cs="Times New Roman" w:eastAsia="Times New Roman" w:hAnsi="Times New Roman"/>
          <w:i w:val="1"/>
          <w:iCs w:val="1"/>
          <w:sz w:val="24"/>
          <w:szCs w:val="24"/>
          <w:rtl w:val="0"/>
        </w:rPr>
        <w:t xml:space="preserve">Journal of Environmental Management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330</w:t>
      </w:r>
      <w:r w:rsidDel="00000000" w:rsidR="00000000" w:rsidRPr="00000000">
        <w:rPr>
          <w:rFonts w:ascii="Times New Roman" w:cs="Times New Roman" w:eastAsia="Times New Roman" w:hAnsi="Times New Roman"/>
          <w:sz w:val="24"/>
          <w:szCs w:val="24"/>
          <w:rtl w:val="0"/>
        </w:rPr>
        <w:t xml:space="preserve">, 117198. https://doi.org/10.1016/j.jenvman.2022.117198</w:t>
      </w:r>
    </w:p>
    <w:p w:rsidR="00000000" w:rsidDel="00000000" w:rsidP="00000000" w:rsidRDefault="00000000" w:rsidRPr="00000000" w14:paraId="0000020F">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(2024). </w:t>
      </w:r>
      <w:r w:rsidDel="00000000" w:rsidR="00000000" w:rsidRPr="00000000">
        <w:rPr>
          <w:rFonts w:ascii="Times New Roman" w:cs="Times New Roman" w:eastAsia="Times New Roman" w:hAnsi="Times New Roman"/>
          <w:i w:val="1"/>
          <w:iCs w:val="1"/>
          <w:sz w:val="24"/>
          <w:szCs w:val="24"/>
          <w:rtl w:val="0"/>
        </w:rPr>
        <w:t xml:space="preserve">Energy Overview</w:t>
      </w:r>
      <w:r w:rsidDel="00000000" w:rsidR="00000000" w:rsidRPr="00000000">
        <w:rPr>
          <w:rFonts w:ascii="Times New Roman" w:cs="Times New Roman" w:eastAsia="Times New Roman" w:hAnsi="Times New Roman"/>
          <w:sz w:val="24"/>
          <w:szCs w:val="24"/>
          <w:rtl w:val="0"/>
        </w:rPr>
        <w:t xml:space="preserve">. World Bank. https://www.worldbank.org/en/topic/energy/overview</w:t>
      </w:r>
    </w:p>
    <w:p w:rsidR="00000000" w:rsidDel="00000000" w:rsidP="00000000" w:rsidRDefault="00000000" w:rsidRPr="00000000" w14:paraId="00000210">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WTO. (2009). </w:t>
      </w:r>
      <w:r w:rsidDel="00000000" w:rsidR="00000000" w:rsidRPr="00000000">
        <w:rPr>
          <w:rFonts w:ascii="Times New Roman" w:cs="Times New Roman" w:eastAsia="Times New Roman" w:hAnsi="Times New Roman"/>
          <w:i w:val="1"/>
          <w:iCs w:val="1"/>
          <w:sz w:val="24"/>
          <w:szCs w:val="24"/>
          <w:rtl w:val="0"/>
        </w:rPr>
        <w:t xml:space="preserve">Oil Price Volatility: Origins and Effects</w:t>
      </w:r>
      <w:r w:rsidDel="00000000" w:rsidR="00000000" w:rsidRPr="00000000">
        <w:rPr>
          <w:rFonts w:ascii="Times New Roman" w:cs="Times New Roman" w:eastAsia="Times New Roman" w:hAnsi="Times New Roman"/>
          <w:sz w:val="24"/>
          <w:szCs w:val="24"/>
          <w:rtl w:val="0"/>
        </w:rPr>
        <w:t xml:space="preserve">. https://www.wto.org/english/res_e/reser_e/ersd201002_e.htm</w:t>
      </w:r>
    </w:p>
    <w:p w:rsidR="00000000" w:rsidDel="00000000" w:rsidP="00000000" w:rsidRDefault="00000000" w:rsidRPr="00000000" w14:paraId="00000211">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Yang, X., Ramos-Meza, C. S., Shabbir, M. S., Ali, S. A., &amp; Jain, V. (2022). The impact of renewable energy consumption, trade openness, CO2 emissions, income inequality, on economic growth. </w:t>
      </w:r>
      <w:r w:rsidDel="00000000" w:rsidR="00000000" w:rsidRPr="00000000">
        <w:rPr>
          <w:rFonts w:ascii="Times New Roman" w:cs="Times New Roman" w:eastAsia="Times New Roman" w:hAnsi="Times New Roman"/>
          <w:i w:val="1"/>
          <w:iCs w:val="1"/>
          <w:sz w:val="24"/>
          <w:szCs w:val="24"/>
          <w:rtl w:val="0"/>
        </w:rPr>
        <w:t xml:space="preserve">Energy Strategy Reviews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44</w:t>
      </w:r>
      <w:r w:rsidDel="00000000" w:rsidR="00000000" w:rsidRPr="00000000">
        <w:rPr>
          <w:rFonts w:ascii="Times New Roman" w:cs="Times New Roman" w:eastAsia="Times New Roman" w:hAnsi="Times New Roman"/>
          <w:sz w:val="24"/>
          <w:szCs w:val="24"/>
          <w:rtl w:val="0"/>
        </w:rPr>
        <w:t xml:space="preserve">, 101003. https://doi.org/10.1016/j.esr.2022.101003</w:t>
      </w:r>
    </w:p>
    <w:p w:rsidR="00000000" w:rsidDel="00000000" w:rsidP="00000000" w:rsidRDefault="00000000" w:rsidRPr="00000000" w14:paraId="00000212">
      <w:pPr>
        <w:spacing w:line="240" w:lineRule="auto"/>
        <w:ind w:left="709" w:hanging="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Yusuf, N., &amp; Nasrulddin, V. (2023). Significance of International Trade and National GDP as Two Integral Components of Sustainable Economic Development in Saudi Arabia. </w:t>
      </w:r>
      <w:r w:rsidDel="00000000" w:rsidR="00000000" w:rsidRPr="00000000">
        <w:rPr>
          <w:rFonts w:ascii="Times New Roman" w:cs="Times New Roman" w:eastAsia="Times New Roman" w:hAnsi="Times New Roman"/>
          <w:i w:val="1"/>
          <w:iCs w:val="1"/>
          <w:sz w:val="24"/>
          <w:szCs w:val="24"/>
          <w:rtl w:val="0"/>
        </w:rPr>
        <w:t xml:space="preserve">Journal of the Knowledge Economy</w:t>
      </w:r>
      <w:r w:rsidDel="00000000" w:rsidR="00000000" w:rsidRPr="00000000">
        <w:rPr>
          <w:rFonts w:ascii="Times New Roman" w:cs="Times New Roman" w:eastAsia="Times New Roman" w:hAnsi="Times New Roman"/>
          <w:sz w:val="24"/>
          <w:szCs w:val="24"/>
          <w:rtl w:val="0"/>
        </w:rPr>
        <w:t xml:space="preserve">. https://doi.org/10.1007/s13132-023-01245-5</w:t>
      </w:r>
    </w:p>
    <w:sectPr>
      <w:footerReference r:id="rId8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table" w:styleId="7" w:customStyle="1">
    <w:name w:val="7"/>
    <w:basedOn w:val="TableNormal"/>
    <w:rsid w:val="00930907"/>
    <w:rPr>
      <w:rFonts w:eastAsia="Arial"/>
      <w:lang w:eastAsia="en-US"/>
    </w:rPr>
    <w:tblPr>
      <w:tblStyleRowBandSize w:val="1"/>
      <w:tblStyleColBandSize w:val="1"/>
      <w:tblInd w:w="0.0" w:type="nil"/>
      <w:tblCellMar>
        <w:top w:w="15.0" w:type="dxa"/>
        <w:left w:w="15.0" w:type="dxa"/>
        <w:bottom w:w="15.0" w:type="dxa"/>
        <w:right w:w="15.0" w:type="dxa"/>
      </w:tblCellMar>
    </w:tblPr>
  </w:style>
  <w:style w:type="table" w:styleId="6" w:customStyle="1">
    <w:name w:val="6"/>
    <w:basedOn w:val="TableNormal"/>
    <w:rsid w:val="00930907"/>
    <w:rPr>
      <w:rFonts w:eastAsia="Arial"/>
      <w:lang w:eastAsia="en-US"/>
    </w:rPr>
    <w:tblPr>
      <w:tblStyleRowBandSize w:val="1"/>
      <w:tblStyleColBandSize w:val="1"/>
      <w:tblInd w:w="0.0" w:type="nil"/>
      <w:tblCellMar>
        <w:top w:w="100.0" w:type="dxa"/>
        <w:left w:w="100.0" w:type="dxa"/>
        <w:bottom w:w="100.0" w:type="dxa"/>
        <w:right w:w="100.0" w:type="dxa"/>
      </w:tblCellMar>
    </w:tblPr>
  </w:style>
  <w:style w:type="table" w:styleId="5" w:customStyle="1">
    <w:name w:val="5"/>
    <w:basedOn w:val="TableNormal"/>
    <w:rsid w:val="00930907"/>
    <w:rPr>
      <w:rFonts w:eastAsia="Arial"/>
      <w:lang w:eastAsia="en-US"/>
    </w:rPr>
    <w:tblPr>
      <w:tblStyleRowBandSize w:val="1"/>
      <w:tblStyleColBandSize w:val="1"/>
      <w:tblInd w:w="0.0" w:type="nil"/>
      <w:tblCellMar>
        <w:top w:w="15.0" w:type="dxa"/>
        <w:left w:w="15.0" w:type="dxa"/>
        <w:bottom w:w="15.0" w:type="dxa"/>
        <w:right w:w="15.0" w:type="dxa"/>
      </w:tblCellMar>
    </w:tblPr>
  </w:style>
  <w:style w:type="table" w:styleId="4" w:customStyle="1">
    <w:name w:val="4"/>
    <w:basedOn w:val="TableNormal"/>
    <w:rsid w:val="00930907"/>
    <w:rPr>
      <w:rFonts w:eastAsia="Arial"/>
      <w:lang w:eastAsia="en-US"/>
    </w:rPr>
    <w:tblPr>
      <w:tblStyleRowBandSize w:val="1"/>
      <w:tblStyleColBandSize w:val="1"/>
      <w:tblInd w:w="0.0" w:type="nil"/>
      <w:tblCellMar>
        <w:top w:w="15.0" w:type="dxa"/>
        <w:left w:w="15.0" w:type="dxa"/>
        <w:bottom w:w="15.0" w:type="dxa"/>
        <w:right w:w="15.0" w:type="dxa"/>
      </w:tblCellMar>
    </w:tblPr>
  </w:style>
  <w:style w:type="table" w:styleId="3" w:customStyle="1">
    <w:name w:val="3"/>
    <w:basedOn w:val="TableNormal"/>
    <w:rsid w:val="00930907"/>
    <w:rPr>
      <w:rFonts w:eastAsia="Arial"/>
      <w:lang w:eastAsia="en-US"/>
    </w:rPr>
    <w:tblPr>
      <w:tblStyleRowBandSize w:val="1"/>
      <w:tblStyleColBandSize w:val="1"/>
      <w:tblInd w:w="0.0" w:type="nil"/>
      <w:tblCellMar>
        <w:top w:w="100.0" w:type="dxa"/>
        <w:left w:w="100.0" w:type="dxa"/>
        <w:bottom w:w="100.0" w:type="dxa"/>
        <w:right w:w="100.0" w:type="dxa"/>
      </w:tblCellMar>
    </w:tblPr>
  </w:style>
  <w:style w:type="table" w:styleId="2" w:customStyle="1">
    <w:name w:val="2"/>
    <w:basedOn w:val="TableNormal"/>
    <w:rsid w:val="00930907"/>
    <w:rPr>
      <w:rFonts w:eastAsia="Arial"/>
      <w:lang w:eastAsia="en-US"/>
    </w:rPr>
    <w:tblPr>
      <w:tblStyleRowBandSize w:val="1"/>
      <w:tblStyleColBandSize w:val="1"/>
      <w:tblInd w:w="0.0" w:type="nil"/>
      <w:tblCellMar>
        <w:top w:w="100.0" w:type="dxa"/>
        <w:left w:w="100.0" w:type="dxa"/>
        <w:bottom w:w="100.0" w:type="dxa"/>
        <w:right w:w="100.0" w:type="dxa"/>
      </w:tblCellMar>
    </w:tblPr>
  </w:style>
  <w:style w:type="table" w:styleId="1" w:customStyle="1">
    <w:name w:val="1"/>
    <w:basedOn w:val="TableNormal"/>
    <w:rsid w:val="00930907"/>
    <w:rPr>
      <w:rFonts w:eastAsia="Arial"/>
      <w:lang w:eastAsia="en-US"/>
    </w:rPr>
    <w:tblPr>
      <w:tblStyleRowBandSize w:val="1"/>
      <w:tblStyleColBandSize w:val="1"/>
      <w:tblInd w:w="0.0" w:type="nil"/>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1016/j.eneco.2023.106749" TargetMode="External"/><Relationship Id="rId84" Type="http://schemas.openxmlformats.org/officeDocument/2006/relationships/hyperlink" Target="https://www.bruegel.org/working-paper/real-effective-exchange-rates-178-countries-new-database" TargetMode="External"/><Relationship Id="rId83" Type="http://schemas.openxmlformats.org/officeDocument/2006/relationships/hyperlink" Target="https://data.worldbank.org/indicator/NY.GDP.PCAP.CD" TargetMode="External"/><Relationship Id="rId42" Type="http://schemas.openxmlformats.org/officeDocument/2006/relationships/hyperlink" Target="https://journals.plos.org/plosone/article?id=10.1371/journal.pone.0264474" TargetMode="External"/><Relationship Id="rId86" Type="http://schemas.openxmlformats.org/officeDocument/2006/relationships/footer" Target="footer1.xml"/><Relationship Id="rId41" Type="http://schemas.openxmlformats.org/officeDocument/2006/relationships/hyperlink" Target="https://doi.org/10.1080/16081625.2024.2342374" TargetMode="External"/><Relationship Id="rId85" Type="http://schemas.openxmlformats.org/officeDocument/2006/relationships/hyperlink" Target="https://www.matteoiacoviello.com/tpu.htm" TargetMode="External"/><Relationship Id="rId44" Type="http://schemas.openxmlformats.org/officeDocument/2006/relationships/hyperlink" Target="https://doi.org/10.1007/s13132-023-01245-5" TargetMode="External"/><Relationship Id="rId43" Type="http://schemas.openxmlformats.org/officeDocument/2006/relationships/hyperlink" Target="https://doi.org/10.3390/su142315534" TargetMode="External"/><Relationship Id="rId46" Type="http://schemas.openxmlformats.org/officeDocument/2006/relationships/hyperlink" Target="https://www.mdpi.com/2071-1050/12/21/9146" TargetMode="External"/><Relationship Id="rId45" Type="http://schemas.openxmlformats.org/officeDocument/2006/relationships/hyperlink" Target="https://www.researchgate.net/publication/377682708_The_Effect_of_GDP_FDI_and_Inflation_to_Trade_Balance_in_12_APEC_Countries" TargetMode="External"/><Relationship Id="rId80" Type="http://schemas.openxmlformats.org/officeDocument/2006/relationships/hyperlink" Target="https://data.worldbank.org/indicator/NE.EXP.GNFS.CD" TargetMode="External"/><Relationship Id="rId82" Type="http://schemas.openxmlformats.org/officeDocument/2006/relationships/hyperlink" Target="https://fred.stlouisfed.org/series/POILWTIUSDM" TargetMode="External"/><Relationship Id="rId81" Type="http://schemas.openxmlformats.org/officeDocument/2006/relationships/hyperlink" Target="https://data.worldbank.org/indicator/NE.IMP.GNFS.C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ea.org/world" TargetMode="External"/><Relationship Id="rId48" Type="http://schemas.openxmlformats.org/officeDocument/2006/relationships/hyperlink" Target="https://datad.aau.org/server/api/core/bitstreams/3194bb6e-beab-4e91-a65a-487fb0383558/content" TargetMode="External"/><Relationship Id="rId47" Type="http://schemas.openxmlformats.org/officeDocument/2006/relationships/hyperlink" Target="https://www.redalyc.org/journal/6922/692273003001/692273003001.pdf" TargetMode="External"/><Relationship Id="rId49" Type="http://schemas.openxmlformats.org/officeDocument/2006/relationships/hyperlink" Target="https://doi.org/10.1146/annurev-economics-021622-02041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worldbank.org/en/topic/energy/overview" TargetMode="External"/><Relationship Id="rId73" Type="http://schemas.openxmlformats.org/officeDocument/2006/relationships/hyperlink" Target="https://data.worldbank.org/indicator/EG.USE.PCAP.KG.OE" TargetMode="External"/><Relationship Id="rId72" Type="http://schemas.openxmlformats.org/officeDocument/2006/relationships/hyperlink" Target="https://doi.org/10.1098/rsta.2015.0202" TargetMode="External"/><Relationship Id="rId31" Type="http://schemas.openxmlformats.org/officeDocument/2006/relationships/hyperlink" Target="https://doi.org/10.1108/IJOEM-02-2022-0341" TargetMode="External"/><Relationship Id="rId75" Type="http://schemas.openxmlformats.org/officeDocument/2006/relationships/hyperlink" Target="https://data.worldbank.org/indicator/SI.POV.NAHC%C6%B0" TargetMode="External"/><Relationship Id="rId30" Type="http://schemas.openxmlformats.org/officeDocument/2006/relationships/hyperlink" Target="https://doi.org/10.1108/SAMPJ-03-2023-0115" TargetMode="External"/><Relationship Id="rId74" Type="http://schemas.openxmlformats.org/officeDocument/2006/relationships/hyperlink" Target="https://data.worldbank.org/indicator/EG.EGY.PRIM.PP.KD" TargetMode="External"/><Relationship Id="rId33" Type="http://schemas.openxmlformats.org/officeDocument/2006/relationships/hyperlink" Target="https://doi.org/10.1111/1759-3441.12313" TargetMode="External"/><Relationship Id="rId77" Type="http://schemas.openxmlformats.org/officeDocument/2006/relationships/hyperlink" Target="https://data.worldbank.org/indicator/SI.DST.FRST.20" TargetMode="External"/><Relationship Id="rId32" Type="http://schemas.openxmlformats.org/officeDocument/2006/relationships/hyperlink" Target="https://doi.org/10.59652/jeime.v3i1.441" TargetMode="External"/><Relationship Id="rId76" Type="http://schemas.openxmlformats.org/officeDocument/2006/relationships/hyperlink" Target="https://data.worldbank.org/indicator/SI.POV.GINI" TargetMode="External"/><Relationship Id="rId35" Type="http://schemas.openxmlformats.org/officeDocument/2006/relationships/hyperlink" Target="https://doi.org/10.1073/pnas.1231335100" TargetMode="External"/><Relationship Id="rId79" Type="http://schemas.openxmlformats.org/officeDocument/2006/relationships/hyperlink" Target="https://data.worldbank.org/indicator/SP.POP.DPND" TargetMode="External"/><Relationship Id="rId34" Type="http://schemas.openxmlformats.org/officeDocument/2006/relationships/hyperlink" Target="https://doi.org/10.1108/JFEP-02-2018-0034" TargetMode="External"/><Relationship Id="rId78" Type="http://schemas.openxmlformats.org/officeDocument/2006/relationships/hyperlink" Target="https://data.worldbank.org/indicator/SL.UEM.TOTL.NE.ZS" TargetMode="External"/><Relationship Id="rId71" Type="http://schemas.openxmlformats.org/officeDocument/2006/relationships/hyperlink" Target="https://doi.org/10.1093/pnasnexus/pgae427" TargetMode="External"/><Relationship Id="rId70" Type="http://schemas.openxmlformats.org/officeDocument/2006/relationships/hyperlink" Target="https://www.matteoiacoviello.com/tpu.htm" TargetMode="External"/><Relationship Id="rId37" Type="http://schemas.openxmlformats.org/officeDocument/2006/relationships/hyperlink" Target="http://v" TargetMode="External"/><Relationship Id="rId36" Type="http://schemas.openxmlformats.org/officeDocument/2006/relationships/hyperlink" Target="https://doi.org/10.1073/pnas.1231335100" TargetMode="External"/><Relationship Id="rId39" Type="http://schemas.openxmlformats.org/officeDocument/2006/relationships/hyperlink" Target="https://doi.org/10.1108/JES-10-2021-0537" TargetMode="External"/><Relationship Id="rId38" Type="http://schemas.openxmlformats.org/officeDocument/2006/relationships/hyperlink" Target="https://doi.org/10.1016/j.eneco.2023.106749" TargetMode="External"/><Relationship Id="rId62" Type="http://schemas.openxmlformats.org/officeDocument/2006/relationships/hyperlink" Target="https://doi.org/10.1016/j.ecolecon.2013.01.019" TargetMode="External"/><Relationship Id="rId61" Type="http://schemas.openxmlformats.org/officeDocument/2006/relationships/hyperlink" Target="https://doi.org/10.1016/j.energy.2011.06.043" TargetMode="External"/><Relationship Id="rId20" Type="http://schemas.openxmlformats.org/officeDocument/2006/relationships/hyperlink" Target="https://doi.org/10.1016/j.rser.2012.06.021" TargetMode="External"/><Relationship Id="rId64" Type="http://schemas.openxmlformats.org/officeDocument/2006/relationships/hyperlink" Target="https://doi.org/10.1002/cir.3880010112" TargetMode="External"/><Relationship Id="rId63" Type="http://schemas.openxmlformats.org/officeDocument/2006/relationships/hyperlink" Target="http://www.jstor.org/stable/2144462" TargetMode="External"/><Relationship Id="rId22" Type="http://schemas.openxmlformats.org/officeDocument/2006/relationships/hyperlink" Target="https://doi.org/10.1016/j.jinteco.2009.01.001" TargetMode="External"/><Relationship Id="rId66" Type="http://schemas.openxmlformats.org/officeDocument/2006/relationships/hyperlink" Target="https://data.worldbank.org/indicator/NE.IMP.GNFS.CD" TargetMode="External"/><Relationship Id="rId21" Type="http://schemas.openxmlformats.org/officeDocument/2006/relationships/hyperlink" Target="https://doi.org/10.1016/S0022-1996(98)00064-6" TargetMode="External"/><Relationship Id="rId65" Type="http://schemas.openxmlformats.org/officeDocument/2006/relationships/hyperlink" Target="https://data.worldbank.org/indicator/NE.EXP.GNFS.CD" TargetMode="External"/><Relationship Id="rId24" Type="http://schemas.openxmlformats.org/officeDocument/2006/relationships/hyperlink" Target="https://doi.org/10.1016/j.eneco.2012.12.002" TargetMode="External"/><Relationship Id="rId68" Type="http://schemas.openxmlformats.org/officeDocument/2006/relationships/hyperlink" Target="https://data.worldbank.org/indicator/NY.GDP.PCAP.CD" TargetMode="External"/><Relationship Id="rId23" Type="http://schemas.openxmlformats.org/officeDocument/2006/relationships/hyperlink" Target="https://doi.org/10.1016/j.jinteco.2010.10.006" TargetMode="External"/><Relationship Id="rId67" Type="http://schemas.openxmlformats.org/officeDocument/2006/relationships/hyperlink" Target="https://fred.stlouisfed.org/series/POILWTIUSDM" TargetMode="External"/><Relationship Id="rId60" Type="http://schemas.openxmlformats.org/officeDocument/2006/relationships/hyperlink" Target="https://doi.org/10.1073/pnas.1231335100" TargetMode="External"/><Relationship Id="rId26" Type="http://schemas.openxmlformats.org/officeDocument/2006/relationships/hyperlink" Target="https://journals.univ-danubius.ro/index.php/euroeconomica/article/view/4791/4970" TargetMode="External"/><Relationship Id="rId25" Type="http://schemas.openxmlformats.org/officeDocument/2006/relationships/hyperlink" Target="https://doi.org/10.1016/j.eneco.2016.02.019" TargetMode="External"/><Relationship Id="rId69" Type="http://schemas.openxmlformats.org/officeDocument/2006/relationships/hyperlink" Target="https://www.bruegel.org/working-paper/real-effective-exchange-rates-178-countries-new-database" TargetMode="External"/><Relationship Id="rId28" Type="http://schemas.openxmlformats.org/officeDocument/2006/relationships/hyperlink" Target="https://doi.org/10.1007/s00181-018-1487-7" TargetMode="External"/><Relationship Id="rId27" Type="http://schemas.openxmlformats.org/officeDocument/2006/relationships/hyperlink" Target="https://doi.org/10.1080/15567249.2022.2053898" TargetMode="External"/><Relationship Id="rId29" Type="http://schemas.openxmlformats.org/officeDocument/2006/relationships/hyperlink" Target="https://www.frontiersin.org/articles/10.3389/fenrg.2022.973557/full" TargetMode="External"/><Relationship Id="rId51" Type="http://schemas.openxmlformats.org/officeDocument/2006/relationships/hyperlink" Target="https://doi.org/10.1016/j.jpolmod.2020.03.009" TargetMode="External"/><Relationship Id="rId50" Type="http://schemas.openxmlformats.org/officeDocument/2006/relationships/hyperlink" Target="https://doi.org/10.1016/j.jimonfin.2019.01.019" TargetMode="External"/><Relationship Id="rId53" Type="http://schemas.openxmlformats.org/officeDocument/2006/relationships/hyperlink" Target="https://doi.org/10.1146/annurev-economics-021622-020416" TargetMode="External"/><Relationship Id="rId52" Type="http://schemas.openxmlformats.org/officeDocument/2006/relationships/hyperlink" Target="https://www.econstor.eu/handle/10419/110980" TargetMode="External"/><Relationship Id="rId11" Type="http://schemas.openxmlformats.org/officeDocument/2006/relationships/hyperlink" Target="https://www.imf.org/-/media/files/publications/wp/2022/english/wpiea2022173-print-pdf.pdf" TargetMode="External"/><Relationship Id="rId55" Type="http://schemas.openxmlformats.org/officeDocument/2006/relationships/hyperlink" Target="https://doi.org/10.1016/j.energy.2011.06.043" TargetMode="External"/><Relationship Id="rId10" Type="http://schemas.openxmlformats.org/officeDocument/2006/relationships/hyperlink" Target="https://www.wto.org/english/res_e/reser_e/ersd201002_e.htm" TargetMode="External"/><Relationship Id="rId54" Type="http://schemas.openxmlformats.org/officeDocument/2006/relationships/hyperlink" Target="https://doi.org/10.1016/j.jenvman.2022.117198" TargetMode="External"/><Relationship Id="rId13" Type="http://schemas.openxmlformats.org/officeDocument/2006/relationships/hyperlink" Target="https://doi.org/10.1002/ijfe.1900" TargetMode="External"/><Relationship Id="rId57" Type="http://schemas.openxmlformats.org/officeDocument/2006/relationships/hyperlink" Target="https://doi.org/10.1016/j.eneco.2019.04.021" TargetMode="External"/><Relationship Id="rId12" Type="http://schemas.openxmlformats.org/officeDocument/2006/relationships/hyperlink" Target="https://doi.org/10.1080/09638199.2019.1574310" TargetMode="External"/><Relationship Id="rId56" Type="http://schemas.openxmlformats.org/officeDocument/2006/relationships/hyperlink" Target="https://doi.org/10.1016/j.ecolecon.2013.01.019" TargetMode="External"/><Relationship Id="rId15" Type="http://schemas.openxmlformats.org/officeDocument/2006/relationships/hyperlink" Target="https://www.iea.org/reports/oil-market-report-december-2025" TargetMode="External"/><Relationship Id="rId59" Type="http://schemas.openxmlformats.org/officeDocument/2006/relationships/hyperlink" Target="https://doi.org/10.1016/j.esr.2022.101003" TargetMode="External"/><Relationship Id="rId14" Type="http://schemas.openxmlformats.org/officeDocument/2006/relationships/hyperlink" Target="https://www.iea.org/news/slowing-demand-growth-and-surging-supply-put-global-oil-markets-on-course-for-major-surplus-this-decade" TargetMode="External"/><Relationship Id="rId58" Type="http://schemas.openxmlformats.org/officeDocument/2006/relationships/hyperlink" Target="https://doi.org/10.1108/CFRI-06-2022-0094" TargetMode="External"/><Relationship Id="rId17" Type="http://schemas.openxmlformats.org/officeDocument/2006/relationships/hyperlink" Target="https://doi.org/10.1016/j.jinteco.2014.05.005" TargetMode="External"/><Relationship Id="rId16" Type="http://schemas.openxmlformats.org/officeDocument/2006/relationships/hyperlink" Target="https://doi.org/10.1146/annurev-economics-021622-020416" TargetMode="External"/><Relationship Id="rId19" Type="http://schemas.openxmlformats.org/officeDocument/2006/relationships/hyperlink" Target="https://doi.org/10.1016/j.inteco.2025.100621" TargetMode="External"/><Relationship Id="rId18" Type="http://schemas.openxmlformats.org/officeDocument/2006/relationships/hyperlink" Target="https://www.imf.org/-/media/files/publications/weo/2025/update/july/english/tex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zFUvRLrSd6bcfYdgL2JZ5tk9rA==">CgMxLjAyDmguMjl6bnhqbzR0b2Q0OAByITFMNkVhaVFxWFROUUN5aUxES0dRRjdEajNBcEh1SDhoZQ==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2025-01-02T06:10:00Z</dcterms:created>
</cp:coreProperties>
</file>