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rPr>
                <w:rFonts w:ascii="Times New Roman" w:cs="Times New Roman" w:eastAsia="Times New Roman" w:hAnsi="Times New Roman"/>
                <w:b w:val="1"/>
                <w:bCs w:val="1"/>
                <w:sz w:val="24"/>
                <w:szCs w:val="24"/>
              </w:rPr>
            </w:pPr>
            <w:bookmarkStart w:colFirst="0" w:colLast="0" w:name="_heading=h.29znxjo4tod4"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176438102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2026.2.3.3</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 </w:t>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after="16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PHƯƠNG PHÁP AHP–DEMATEL MỜ ĐA TIÊU CHÍ CHO LỰA CHỌN HIỆU QUẢ PHƯƠNG THỨC VẬN TẢI BỀN VỮNG </w:t>
        <w:br w:type="textWrapping"/>
        <w:t xml:space="preserve">(TUYẾN THÀNH PHỐ HỒ CHÍ MINH – HÀNG CHÂU)</w:t>
      </w:r>
    </w:p>
    <w:p w:rsidR="00000000" w:rsidDel="00000000" w:rsidP="00000000" w:rsidRDefault="00000000" w:rsidRPr="00000000" w14:paraId="0000000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Trí Dũng</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Trần Lê Phương Nhi, Đồng Ngọc Hà My, Nguyễn Thúy Hà,</w:t>
      </w:r>
    </w:p>
    <w:p w:rsidR="00000000" w:rsidDel="00000000" w:rsidP="00000000" w:rsidRDefault="00000000" w:rsidRPr="00000000" w14:paraId="0000000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K62 CLC Logistics và Quản lý chuỗi cung ứng – </w:t>
      </w:r>
    </w:p>
    <w:p w:rsidR="00000000" w:rsidDel="00000000" w:rsidP="00000000" w:rsidRDefault="00000000" w:rsidRPr="00000000" w14:paraId="000000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Khoa Kinh doanh &amp; Thương mại quốc tế</w:t>
      </w:r>
    </w:p>
    <w:p w:rsidR="00000000" w:rsidDel="00000000" w:rsidP="00000000" w:rsidRDefault="00000000" w:rsidRPr="00000000" w14:paraId="0000000F">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tại Thành phố Hồ Chí Minh, Việt Nam</w:t>
      </w:r>
    </w:p>
    <w:p w:rsidR="00000000" w:rsidDel="00000000" w:rsidP="00000000" w:rsidRDefault="00000000" w:rsidRPr="00000000" w14:paraId="00000010">
      <w:pPr>
        <w:spacing w:line="36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Dương Xuân Nguyên </w:t>
      </w:r>
    </w:p>
    <w:p w:rsidR="00000000" w:rsidDel="00000000" w:rsidP="00000000" w:rsidRDefault="00000000" w:rsidRPr="00000000" w14:paraId="0000001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K61 CLC Logistics và Quản lý chuỗi cung ứng – </w:t>
      </w:r>
    </w:p>
    <w:p w:rsidR="00000000" w:rsidDel="00000000" w:rsidP="00000000" w:rsidRDefault="00000000" w:rsidRPr="00000000" w14:paraId="0000001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Khoa Kinh doanh &amp; Thương mại quốc tế </w:t>
      </w:r>
    </w:p>
    <w:p w:rsidR="00000000" w:rsidDel="00000000" w:rsidP="00000000" w:rsidRDefault="00000000" w:rsidRPr="00000000" w14:paraId="00000014">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tại Thành phố Hồ Chí Minh, Việt Nam</w:t>
      </w:r>
    </w:p>
    <w:p w:rsidR="00000000" w:rsidDel="00000000" w:rsidP="00000000" w:rsidRDefault="00000000" w:rsidRPr="00000000" w14:paraId="00000015">
      <w:pPr>
        <w:spacing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Lê Thị Thanh Ngân</w:t>
      </w:r>
    </w:p>
    <w:p w:rsidR="00000000" w:rsidDel="00000000" w:rsidP="00000000" w:rsidRDefault="00000000" w:rsidRPr="00000000" w14:paraId="0000001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Bộ môn Kinh doanh &amp; Thương mại quốc tế</w:t>
      </w:r>
    </w:p>
    <w:p w:rsidR="00000000" w:rsidDel="00000000" w:rsidP="00000000" w:rsidRDefault="00000000" w:rsidRPr="00000000" w14:paraId="00000018">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tại Thành phố Hồ Chí Minh, Việt Nam</w:t>
      </w:r>
    </w:p>
    <w:p w:rsidR="00000000" w:rsidDel="00000000" w:rsidP="00000000" w:rsidRDefault="00000000" w:rsidRPr="00000000" w14:paraId="00000019">
      <w:pPr>
        <w:pBdr>
          <w:top w:color="000000" w:space="1" w:sz="4" w:val="single"/>
        </w:pBdr>
        <w:spacing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r w:rsidDel="00000000" w:rsidR="00000000" w:rsidRPr="00000000">
        <w:rPr>
          <w:rtl w:val="0"/>
        </w:rPr>
      </w:r>
    </w:p>
    <w:p w:rsidR="00000000" w:rsidDel="00000000" w:rsidP="00000000" w:rsidRDefault="00000000" w:rsidRPr="00000000" w14:paraId="0000001A">
      <w:pPr>
        <w:pBdr>
          <w:top w:color="000000" w:space="1" w:sz="4" w:val="single"/>
        </w:pBd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Vận tải hàng hóa xanh ngày càng được ưu tiên khi ngành logistics chịu áp lực phải giảm phát thải đồng thời duy trì hiệu quả. Nghiên cứu này xem xét việc lựa chọn phương thức vận chuyển bền vững cho hàng hóa tổng hợp và hàng cồng kềnh từ Thành phố Hồ Chí Minh (Việt Nam) đến Hàng Châu (Trung Quốc). Một khung ra quyết định lai hai giai đoạn sử dụng mô hình Phân tích Thứ bậc mờ (Fuzzy AHP) và Phương pháp ra quyết định dựa trên thực nghiệm và đánh giá (DEMATEL) được áp dụng để xác định các tiêu chí chính và phân tích các mối quan hệ nhân quả ảnh hưởng tới việc lựa chọn phương thức. Kết quả cho thấy cách cân bằng giữa hiệu suất môi trường và hiệu quả vận hành, cung cấp hướng dẫn chiến lược cho doanh nghiệp và nhà hoạch định chính sách trong việc tích hợp các giải pháp vận tải xanh vào chuỗi cung ứng. Nghiên cứu đóng góp những nhận thức mang tính thực tiễn nhằm hỗ trợ phát triển logistics bền vững trong vận tải hàng hóa xuyên biên giới.</w:t>
      </w:r>
    </w:p>
    <w:p w:rsidR="00000000" w:rsidDel="00000000" w:rsidP="00000000" w:rsidRDefault="00000000" w:rsidRPr="00000000" w14:paraId="0000001B">
      <w:pP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vận tải hàng hóa xanh, logistics bền vững, Fuzzy AHP, DEMATEL, lựa chọn phương thức vận tải</w:t>
      </w:r>
      <w:r w:rsidDel="00000000" w:rsidR="00000000" w:rsidRPr="00000000">
        <w:rPr>
          <w:rtl w:val="0"/>
        </w:rPr>
      </w:r>
    </w:p>
    <w:p w:rsidR="00000000" w:rsidDel="00000000" w:rsidP="00000000" w:rsidRDefault="00000000" w:rsidRPr="00000000" w14:paraId="0000001C">
      <w:pPr>
        <w:spacing w:after="160" w:line="360" w:lineRule="auto"/>
        <w:ind w:right="48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spacing w:after="160" w:line="360" w:lineRule="auto"/>
        <w:ind w:right="4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MULTI-CRITERIA FUZZY AHP-DEMATEL APPROACH FOR EFFECTIVE SELECTIONS OF SUSTAINABLE TRANSPORT MODE </w:t>
        <w:br w:type="textWrapping"/>
        <w:t xml:space="preserve">(HO CHI MINH CITY - HANGZHOU ROUTE) </w:t>
      </w:r>
    </w:p>
    <w:p w:rsidR="00000000" w:rsidDel="00000000" w:rsidP="00000000" w:rsidRDefault="00000000" w:rsidRPr="00000000" w14:paraId="0000001E">
      <w:pPr>
        <w:spacing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r w:rsidDel="00000000" w:rsidR="00000000" w:rsidRPr="00000000">
        <w:rPr>
          <w:rtl w:val="0"/>
        </w:rPr>
      </w:r>
    </w:p>
    <w:p w:rsidR="00000000" w:rsidDel="00000000" w:rsidP="00000000" w:rsidRDefault="00000000" w:rsidRPr="00000000" w14:paraId="0000001F">
      <w:pP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Green freight transportation is increasingly prioritized as logistics faces pressure to reduce emissions while maintaining efficiency. This study examines sustainable transport mode selection for general cargo and voluminous goods from Ho Chi Minh City (Vietnam) to Hangzhou (China). A two-stage hybrid decision-making framework using Fuzzy Analytic Hierarchy Process (Fuzzy AHP) and Decision-Making Trial and Evaluation Laboratory (DEMATEL) is applied to identify key criteria and analyze causal relationships influencing mode choices. The findings reveal how environmental performance and operational efficiency can be balanced, providing strategic guidance for firms and policymakers in integrating green transport solutions into supply chains. The study contributes practical insights to support sustainable logistics development in cross-border freight transportation.</w:t>
      </w:r>
    </w:p>
    <w:p w:rsidR="00000000" w:rsidDel="00000000" w:rsidP="00000000" w:rsidRDefault="00000000" w:rsidRPr="00000000" w14:paraId="00000020">
      <w:pPr>
        <w:pBdr>
          <w:bottom w:color="000000" w:space="1" w:sz="4" w:val="single"/>
        </w:pBd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green freight transport, sustainable logistics, Fuzzy AHP, DEMATEL, transport mode selection</w:t>
      </w:r>
      <w:r w:rsidDel="00000000" w:rsidR="00000000" w:rsidRPr="00000000">
        <w:rPr>
          <w:rtl w:val="0"/>
        </w:rPr>
      </w:r>
    </w:p>
    <w:p w:rsidR="00000000" w:rsidDel="00000000" w:rsidP="00000000" w:rsidRDefault="00000000" w:rsidRPr="00000000" w14:paraId="00000021">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Introduction</w:t>
      </w:r>
    </w:p>
    <w:p w:rsidR="00000000" w:rsidDel="00000000" w:rsidP="00000000" w:rsidRDefault="00000000" w:rsidRPr="00000000" w14:paraId="00000022">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Freight transportation is central to global trade, yet it contributes significantly to environmental degradation. In 2020, almost one-fifth of global CO2 emissions came from transport, with 2.2 billion tonnes from road freight alone (Greene, 2023). Beyond greenhouse gases, transportation emitted over 20% of global black carbon, accelerating health risks and ice-melt (Greene, 2023). In the Asia-Pacific, domestic transport produced 38% of global fossil CO2 in 2022, including over 2,500 million tonnes from the sector (Asian Transport Outlook, 2023). Vietnam, a major trade hub under rising environmental strain, saw road transport account for 84% of emissions in 2022, down from 96% during 2000–2015, reflecting improved energy efficiency and policy effectiveness (Asian Transport Outlook, 2024). However, balancing competitiveness and emission reduction remains challenging. China is Vietnam’s largest trading partner, representing 26% of total trade, reaching US$205.2 billion in 2024 (Center for WTO and International Trade - VCCI, 2025). Within this bilateral corridor, the Ho Chi Minh City–Hangzhou route is particularly significant, in which Ho Chi Minh City handles approximately 8.9 million TEUs annually, while Hangzhou serves as a critical distribution hub for domestic consumption and international e-commerce. As sustainable transportation gains urgency, transport mode selection requires trade-offs among cost, time, flexibility, and environmental performance. Yet, decisions remain cost-driven, often sidelining sustainability.</w:t>
      </w:r>
    </w:p>
    <w:p w:rsidR="00000000" w:rsidDel="00000000" w:rsidP="00000000" w:rsidRDefault="00000000" w:rsidRPr="00000000" w14:paraId="00000023">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Green logistics faces conflicting objectives: lower emissions vs. low cost and fast delivery. Slower modes reduce emissions but affect service quality, while faster modes increase fuel use. Simple scoring approaches fail to capture interdependent criteria and uncertainty. A methodological gap persists in ranking trade-offs among cost, emission, and service in multimodal contexts. For the Vietnam–China trade, selecting the effective mode is vital as road, air, sea, and rail each involve distinct benefits and limitations. Therefore, this study applies a two-stage hybrid framework combining Fuzzy Analytic Hierarchy Process (Fuzzy AHP) and Decision-Making Trial and Evaluation Laboratory (DEMATEL) to weight eight sub-criteria under uncertainty and map their causal interdependencies, provided a structured optimization framework to evaluate interactions among criteria and support robust, scalable decisions for sustainable freight planning.</w:t>
      </w:r>
    </w:p>
    <w:p w:rsidR="00000000" w:rsidDel="00000000" w:rsidP="00000000" w:rsidRDefault="00000000" w:rsidRPr="00000000" w14:paraId="00000024">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Theoretical framework</w:t>
      </w:r>
    </w:p>
    <w:p w:rsidR="00000000" w:rsidDel="00000000" w:rsidP="00000000" w:rsidRDefault="00000000" w:rsidRPr="00000000" w14:paraId="00000026">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2.1. Overview of sustainable freight transport </w:t>
      </w:r>
    </w:p>
    <w:p w:rsidR="00000000" w:rsidDel="00000000" w:rsidP="00000000" w:rsidRDefault="00000000" w:rsidRPr="00000000" w14:paraId="00000027">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Freight mode choice is shaped by multiple economic and operational criteria. Arencibia et al. (2015), studying the Spain–Europe freight corridor, applied a Stated Preference survey (SP) with Discrete Choice Models (DCMs), estimated Multinomial Logit (ML) and Mixed Multinomial Logit models (MNL). They found that road transport dominates, but larger companies and those with logistics departments are more open to intermodal alternatives. Similarly, Konstantinus et al. (2020) used the same method to examine freight transport in Greece and identified that road transport remains dominant due to its flexibility, despite the availability of rail and maritime alternatives. Both studies highlight the persistence of road dominance in freight transport by the usage of DCMs and SP data, which are widely recognized as behavioral MCDM approaches in transport research.</w:t>
      </w:r>
    </w:p>
    <w:p w:rsidR="00000000" w:rsidDel="00000000" w:rsidP="00000000" w:rsidRDefault="00000000" w:rsidRPr="00000000" w14:paraId="0000002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Subsequent research broadened the perspective by integrating sustainability-related criteria into the decision process. Fulzele et al. (2019) proposed a three-dimensional framework (economic, social, and environmental) to assess mode choice by using grey relational analysis - intuitionistic fuzzy process (GRA-IFP) and fuzzy multi-objective linear programming (FMOLP). Their results identified road and rail as the most sustainable modes overall. Zaid et al. (2024), applied Fuzzy Analytic Hierarchy Process (FAHP), interestingly showed that rail emerged as the preferred mode in two out of three route scenarios, although a dedicated truck lane was favored for short-distance shipments with specific commodity characteristics. Krauth et al. (2025) also stressed the contextual conditions under which rail becomes a sustainable alternative to road, particularly in inner-city logistics where infrastructure and policy support can enhance rail’s competitiveness.</w:t>
      </w:r>
    </w:p>
    <w:p w:rsidR="00000000" w:rsidDel="00000000" w:rsidP="00000000" w:rsidRDefault="00000000" w:rsidRPr="00000000" w14:paraId="0000002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firms typically face two options: a low-cost but high-emission mode (such as road transport) and a higher-cost but low-emission mode (such as rail or inland waterways). Hoen et al. (2012) applied a logistics optimization model that incorporated carbon costs into transport and inventory decisions, showing that taxes, caps, or trading schemes can shift firms toward cleaner modes, though lead time variability and reliability remain critical barriers. Together, these studies underline that sustainable mode choice is not voluntary but largely policy-driven, and that effective carbon regulation must balance environmental goals with firms’ operational and economic constraints.</w:t>
      </w:r>
    </w:p>
    <w:p w:rsidR="00000000" w:rsidDel="00000000" w:rsidP="00000000" w:rsidRDefault="00000000" w:rsidRPr="00000000" w14:paraId="0000002A">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2.2. The research gap and hybrid MCDM approach </w:t>
      </w:r>
    </w:p>
    <w:p w:rsidR="00000000" w:rsidDel="00000000" w:rsidP="00000000" w:rsidRDefault="00000000" w:rsidRPr="00000000" w14:paraId="0000002B">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Earlier work on freight mode choice points to a clear bias toward economic and operational goals. Research from Europe and Asia (Arencibia et al., 2015; Konstantinus et al., 2020; Reis, 2014) finds that firms still rank cost and reliability above green impact. Even when sustainability is considered, as in Fulzele et al. (2019) or Zaid et al. (2024), the findings show that firms rarely adopt cleaner modes on their own without direct cost pressure from government policy. This means that green concerns still carry less weight, and that choices in practice are shaped more by outside rules than by company priorities.</w:t>
      </w:r>
    </w:p>
    <w:p w:rsidR="00000000" w:rsidDel="00000000" w:rsidP="00000000" w:rsidRDefault="00000000" w:rsidRPr="00000000" w14:paraId="0000002C">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recent work applies MCDM tools to reflect complex trade-offs in delivery mode choice better. These approaches highlight the need for models that can deal with vague judgments, multiple stakeholders, and the balance between cost, time, safety, and emissions. Yet, most of these studies stop at ranking modes. This gap is critical in eco-friendly delivery. To decide which green modes to apply, it depends not only on the weight of each factor, but also on how they interact. Without mapping these links, decision models risk oversimplifying the trade-offs.</w:t>
      </w:r>
    </w:p>
    <w:p w:rsidR="00000000" w:rsidDel="00000000" w:rsidP="00000000" w:rsidRDefault="00000000" w:rsidRPr="00000000" w14:paraId="0000002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very few studies have tested such models in Southeast Asia. Most cases come from Europe, the Middle East, or broad global settings. The Vietnam-China corridor is underexplored, despite its growing role in regional trade and its potential for greener logistics.</w:t>
      </w:r>
    </w:p>
    <w:p w:rsidR="00000000" w:rsidDel="00000000" w:rsidP="00000000" w:rsidRDefault="00000000" w:rsidRPr="00000000" w14:paraId="0000002E">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Multi-criteria decision making (MCDM) methods have been widely applied in many industries where managers must evaluate many different factors that may conflict with one another and help point to the most suitable option. Regarding delivery mode, choosing one method is a difficult task because it requires trade-offs between economic, environmental, and social goals. The problem is complex, and single-criterion methods cannot capture its full nature. MCDM methods are designed for such cases.</w:t>
      </w:r>
    </w:p>
    <w:p w:rsidR="00000000" w:rsidDel="00000000" w:rsidP="00000000" w:rsidRDefault="00000000" w:rsidRPr="00000000" w14:paraId="0000002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Kundu et al. (2015) used interval type-2 fuzzy sets to balance safety, speed, and product traits. Rajadurai and Kaliyaperumal (2025) built a hybrid model with BWM, SIR, TOPSIS, and fuzzy risk tools. They studied multimodal freight and added risks such as breakdowns, accidents, and weather shocks. Fuzzy sets let them capture uncertain safety issues beyond simple cost and time. Broniewicz and Ogrodnik (2021) tested many tools (DEMATEL, REMBRANDT, VIKOR, AHP, FAHP, TOPSIS, and PROMETHEE). They showed how DEMATEL maps cause-effect links, while other methods give weights or rankings. </w:t>
      </w:r>
    </w:p>
    <w:p w:rsidR="00000000" w:rsidDel="00000000" w:rsidP="00000000" w:rsidRDefault="00000000" w:rsidRPr="00000000" w14:paraId="00000030">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these works, one clear trend emerges, stating that hybrid fuzzy MCDM is best at handling the uncertainty, trade-offs, and interdependence in transport decisions. Specifically, the two methods, Fuzzy AHP and DEMATEL, fill each other’s gaps. Fuzzy AHP handles subjective weight judgments under uncertainty. DEMATEL reveals cause-and-effect structures across criteria.</w:t>
      </w:r>
    </w:p>
    <w:p w:rsidR="00000000" w:rsidDel="00000000" w:rsidP="00000000" w:rsidRDefault="00000000" w:rsidRPr="00000000" w14:paraId="00000031">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2.3. Rationale for choosing the route and type of cargo </w:t>
      </w:r>
    </w:p>
    <w:p w:rsidR="00000000" w:rsidDel="00000000" w:rsidP="00000000" w:rsidRDefault="00000000" w:rsidRPr="00000000" w14:paraId="00000032">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Vietnam and China have become each other’s critical trade partners, with bilateral exchanges expanding at a remarkable pace. HCMC handles one of the largest shares of Vietnam’s container throughput, around 8.9 million TEUs in 2021, the highest for any Vietnamese port (Xuân Nghi, 2025). On the Chinese side, Hangzhou and the wider Zhejiang province are essential distribution hubs for both domestic consumption and international e-commerce. Linking HCM and Hangzhou reflects both the sheer trade volume and the strategic logistics complementarity between an ASEAN export center and a Chinese digital-trade hub, making the corridor highly representative for eco-friendly transport studies.</w:t>
      </w:r>
    </w:p>
    <w:p w:rsidR="00000000" w:rsidDel="00000000" w:rsidP="00000000" w:rsidRDefault="00000000" w:rsidRPr="00000000" w14:paraId="00000033">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Regarding type of cargo, general cargo suits all modes such as road, sea, air, rail allowing balanced comparison. It avoids specialized storage requirements, reduces operational complexity, and supports better capacity utilization, contributing to emission reduction per shipment. Data on rates, transit time, and emission factors are widely accessible, ensuring clearer modeling and fair evaluation across eco-friendly transport options. </w:t>
      </w:r>
    </w:p>
    <w:p w:rsidR="00000000" w:rsidDel="00000000" w:rsidP="00000000" w:rsidRDefault="00000000" w:rsidRPr="00000000" w14:paraId="00000034">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selecting the HCM–Hangzhou corridor and general cargo is the most suitable due to high trade intensity, multimodal accessibility, and strong sustainability relevance. This combination strengthens the methodological validity of applying multi-criteria decision models in green freight analysis.</w:t>
      </w:r>
    </w:p>
    <w:p w:rsidR="00000000" w:rsidDel="00000000" w:rsidP="00000000" w:rsidRDefault="00000000" w:rsidRPr="00000000" w14:paraId="00000035">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Research method</w:t>
      </w:r>
    </w:p>
    <w:p w:rsidR="00000000" w:rsidDel="00000000" w:rsidP="00000000" w:rsidRDefault="00000000" w:rsidRPr="00000000" w14:paraId="00000037">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3.1. Data collection and criteria formulation </w:t>
      </w:r>
    </w:p>
    <w:p w:rsidR="00000000" w:rsidDel="00000000" w:rsidP="00000000" w:rsidRDefault="00000000" w:rsidRPr="00000000" w14:paraId="0000003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quantitative data used in this study were strictly obtained through pre-existing public resources. Instead of conducting new surveys or interviews with field-related experts, this study systematically assembles quantitative measures for each criterion (cost, emissions, service level, reliability, and related subcriteria) from various academic literature, industry reports, governmental statistics, and international databases. The primary rationale for relying on secondary data is twofold: first, authoritative secondary sources provide directly comparable metrics for the Ho Chi Minh City - Hangzhou corridor and permit reproducibility; second, a pooled-estimate approach reduces single-expert bias, making the study easier to validate against historical and industry benchmarks. For the transparency and credibility of this replacement of experts, multiple sources were documented and retained raw extracted values in the dataset. Then, pooled estimates were computed (mean and interquartile range) where those sources reported the same metric and recorded raw entries for sensitivity analyses, creating and archiving a coding rubric that maps qualitative literature statements to numeric DEMATEL codes.</w:t>
      </w:r>
    </w:p>
    <w:p w:rsidR="00000000" w:rsidDel="00000000" w:rsidP="00000000" w:rsidRDefault="00000000" w:rsidRPr="00000000" w14:paraId="0000003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 raw measurements, such as transportation expenses and CO₂ production were normalized prior to constructing the model with a min-max scaling approach, generating dimensionless indices. After mapping these dimensionless indices to the fuzzy linguistic categories used to perform Fuzzy AHP analysis, numerical codes were obtained by applying the typical procedure of transforming qualitative causal influence statements, that were derived from literature, into numeric representations of perceived interdependence among criteria.</w:t>
      </w:r>
    </w:p>
    <w:p w:rsidR="00000000" w:rsidDel="00000000" w:rsidP="00000000" w:rsidRDefault="00000000" w:rsidRPr="00000000" w14:paraId="0000003A">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Criteria for evaluation were established through a systematic approach using the PRISMA methodology. This systematic approach resulted in identification of a comprehensive list that included 4 primary criteria (where each primary criterion consists of 2 sub-criteria) to ensure a proper balance between Operational Performance and Environmental Sustainability. The 8 sub-criteria include: Transportation cost (S1), Wastage cost (S2), Transportation time (S3), and Customs clearance time (S4); Freight frequency (S5) and Load capacity (S6); CO₂ emissions (S7) and, finally, Cargo characteristics (S8). These sub-criteria ensure that the selection of the transportation mode meets practical requirements. As a result, the hierarchical nature of the comprehensive format for the transportation method criteria forms the basis for the subsequent hybrid FAHP-DEMATEL analysis.</w:t>
      </w:r>
    </w:p>
    <w:p w:rsidR="00000000" w:rsidDel="00000000" w:rsidP="00000000" w:rsidRDefault="00000000" w:rsidRPr="00000000" w14:paraId="0000003B">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3.2. Fuzzy AHP procedure and weights </w:t>
      </w:r>
    </w:p>
    <w:p w:rsidR="00000000" w:rsidDel="00000000" w:rsidP="00000000" w:rsidRDefault="00000000" w:rsidRPr="00000000" w14:paraId="0000003C">
      <w:pPr>
        <w:spacing w:line="360" w:lineRule="auto"/>
        <w:jc w:val="center"/>
        <w:rPr>
          <w:rFonts w:ascii="Times New Roman" w:cs="Times New Roman" w:eastAsia="Times New Roman" w:hAnsi="Times New Roman"/>
          <w:i w:val="1"/>
          <w:iCs w:val="1"/>
          <w:sz w:val="24"/>
          <w:szCs w:val="24"/>
        </w:rPr>
      </w:pPr>
      <w:r w:rsidDel="00000000" w:rsidR="00000000" w:rsidRPr="00000000">
        <w:rPr>
          <w:color w:val="000000"/>
        </w:rPr>
        <w:drawing>
          <wp:inline distB="0" distT="0" distL="0" distR="0">
            <wp:extent cx="5733415" cy="2130277"/>
            <wp:effectExtent b="0" l="0" r="0" t="0"/>
            <wp:docPr id="176438101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33415" cy="2130277"/>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The AHP hierarchy</w:t>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r w:rsidDel="00000000" w:rsidR="00000000" w:rsidRPr="00000000">
        <w:rPr>
          <w:rtl w:val="0"/>
        </w:rPr>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 Fuzzy scale of importance</w:t>
      </w:r>
    </w:p>
    <w:p w:rsidR="00000000" w:rsidDel="00000000" w:rsidP="00000000" w:rsidRDefault="00000000" w:rsidRPr="00000000" w14:paraId="00000042">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Chen &amp; Lee (2011)</w:t>
      </w:r>
    </w:p>
    <w:tbl>
      <w:tblPr>
        <w:tblStyle w:val="Table2"/>
        <w:tblW w:w="9019.0" w:type="dxa"/>
        <w:jc w:val="left"/>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400"/>
      </w:tblPr>
      <w:tblGrid>
        <w:gridCol w:w="3006"/>
        <w:gridCol w:w="3231"/>
        <w:gridCol w:w="2782"/>
        <w:tblGridChange w:id="0">
          <w:tblGrid>
            <w:gridCol w:w="3006"/>
            <w:gridCol w:w="3231"/>
            <w:gridCol w:w="2782"/>
          </w:tblGrid>
        </w:tblGridChange>
      </w:tblGrid>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4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Relative Importance (C</w:t>
            </w:r>
            <w:r w:rsidDel="00000000" w:rsidR="00000000" w:rsidRPr="00000000">
              <w:rPr>
                <w:rFonts w:ascii="Times New Roman" w:cs="Times New Roman" w:eastAsia="Times New Roman" w:hAnsi="Times New Roman"/>
                <w:b w:val="1"/>
                <w:bCs w:val="1"/>
                <w:sz w:val="28"/>
                <w:szCs w:val="28"/>
                <w:vertAlign w:val="subscript"/>
                <w:rtl w:val="0"/>
              </w:rPr>
              <w:t xml:space="preserve">ij)</w:t>
            </w: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4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Definition</w:t>
            </w:r>
          </w:p>
        </w:tc>
        <w:tc>
          <w:tcPr>
            <w:tcBorders>
              <w:top w:color="000000" w:space="0" w:sz="12" w:val="single"/>
              <w:bottom w:color="000000" w:space="0" w:sz="12" w:val="single"/>
            </w:tcBorders>
          </w:tcPr>
          <w:p w:rsidR="00000000" w:rsidDel="00000000" w:rsidP="00000000" w:rsidRDefault="00000000" w:rsidRPr="00000000" w14:paraId="0000004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Triangular </w:t>
            </w:r>
          </w:p>
          <w:p w:rsidR="00000000" w:rsidDel="00000000" w:rsidP="00000000" w:rsidRDefault="00000000" w:rsidRPr="00000000" w14:paraId="0000004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fuzzy number</w:t>
            </w:r>
          </w:p>
        </w:tc>
      </w:tr>
      <w:tr>
        <w:trPr>
          <w:cantSplit w:val="0"/>
          <w:tblHeader w:val="0"/>
        </w:trPr>
        <w:tc>
          <w:tcPr>
            <w:tcBorders>
              <w:top w:color="000000" w:space="0" w:sz="12" w:val="single"/>
            </w:tcBorders>
          </w:tcPr>
          <w:p w:rsidR="00000000" w:rsidDel="00000000" w:rsidP="00000000" w:rsidRDefault="00000000" w:rsidRPr="00000000" w14:paraId="00000047">
            <w:pPr>
              <w:spacing w:line="360" w:lineRule="auto"/>
              <w:jc w:val="center"/>
              <w:rPr>
                <w:rFonts w:ascii="Times New Roman" w:cs="Times New Roman" w:eastAsia="Times New Roman" w:hAnsi="Times New Roman"/>
                <w:sz w:val="24"/>
                <w:szCs w:val="24"/>
              </w:rPr>
            </w:pPr>
            <m:oMath>
              <m:acc>
                <m:accPr>
                  <m:chr m:val="̃"/>
                  <m:ctrlPr>
                    <w:rPr>
                      <w:rFonts w:ascii="Times New Roman" w:cs="Times New Roman" w:eastAsia="Times New Roman" w:hAnsi="Times New Roman"/>
                      <w:sz w:val="24"/>
                      <w:szCs w:val="24"/>
                    </w:rPr>
                  </m:ctrlPr>
                </m:accPr>
                <m:e>
                  <m:r>
                    <w:rPr>
                      <w:rFonts w:ascii="Times New Roman" w:cs="Times New Roman" w:eastAsia="Times New Roman" w:hAnsi="Times New Roman"/>
                      <w:sz w:val="24"/>
                      <w:szCs w:val="24"/>
                    </w:rPr>
                    <m:t xml:space="preserve">1</m:t>
                  </m:r>
                </m:e>
              </m:acc>
            </m:oMath>
            <w:r w:rsidDel="00000000" w:rsidR="00000000" w:rsidRPr="00000000">
              <w:rPr>
                <w:rFonts w:ascii="Times New Roman" w:cs="Times New Roman" w:eastAsia="Times New Roman" w:hAnsi="Times New Roman"/>
                <w:sz w:val="24"/>
                <w:szCs w:val="24"/>
                <w:rtl w:val="0"/>
              </w:rPr>
              <w:t xml:space="preserve"> </w:t>
            </w:r>
          </w:p>
        </w:tc>
        <w:tc>
          <w:tcPr>
            <w:tcBorders>
              <w:top w:color="000000" w:space="0" w:sz="12" w:val="single"/>
            </w:tcBorders>
          </w:tcPr>
          <w:p w:rsidR="00000000" w:rsidDel="00000000" w:rsidP="00000000" w:rsidRDefault="00000000" w:rsidRPr="00000000" w14:paraId="0000004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importance</w:t>
            </w:r>
          </w:p>
        </w:tc>
        <w:tc>
          <w:tcPr>
            <w:tcBorders>
              <w:top w:color="000000" w:space="0" w:sz="12" w:val="single"/>
            </w:tcBorders>
          </w:tcPr>
          <w:p w:rsidR="00000000" w:rsidDel="00000000" w:rsidP="00000000" w:rsidRDefault="00000000" w:rsidRPr="00000000" w14:paraId="0000004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w:t>
            </w:r>
          </w:p>
        </w:tc>
      </w:tr>
      <w:tr>
        <w:trPr>
          <w:cantSplit w:val="0"/>
          <w:tblHeader w:val="0"/>
        </w:trPr>
        <w:tc>
          <w:tcPr/>
          <w:p w:rsidR="00000000" w:rsidDel="00000000" w:rsidP="00000000" w:rsidRDefault="00000000" w:rsidRPr="00000000" w14:paraId="0000004A">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2</m:t>
                  </m:r>
                </m:e>
              </m:acc>
            </m:oMath>
            <w:r w:rsidDel="00000000" w:rsidR="00000000" w:rsidRPr="00000000">
              <w:rPr>
                <w:rtl w:val="0"/>
              </w:rPr>
            </w:r>
          </w:p>
        </w:tc>
        <w:tc>
          <w:tcPr/>
          <w:p w:rsidR="00000000" w:rsidDel="00000000" w:rsidP="00000000" w:rsidRDefault="00000000" w:rsidRPr="00000000" w14:paraId="0000004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Middle value between 1 and 3</w:t>
            </w:r>
          </w:p>
        </w:tc>
        <w:tc>
          <w:tcPr/>
          <w:p w:rsidR="00000000" w:rsidDel="00000000" w:rsidP="00000000" w:rsidRDefault="00000000" w:rsidRPr="00000000" w14:paraId="0000004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r>
      <w:tr>
        <w:trPr>
          <w:cantSplit w:val="0"/>
          <w:tblHeader w:val="0"/>
        </w:trPr>
        <w:tc>
          <w:tcPr/>
          <w:p w:rsidR="00000000" w:rsidDel="00000000" w:rsidP="00000000" w:rsidRDefault="00000000" w:rsidRPr="00000000" w14:paraId="0000004D">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3</m:t>
                  </m:r>
                </m:e>
              </m:acc>
            </m:oMath>
            <w:r w:rsidDel="00000000" w:rsidR="00000000" w:rsidRPr="00000000">
              <w:rPr>
                <w:rtl w:val="0"/>
              </w:rPr>
            </w:r>
          </w:p>
        </w:tc>
        <w:tc>
          <w:tcPr/>
          <w:p w:rsidR="00000000" w:rsidDel="00000000" w:rsidP="00000000" w:rsidRDefault="00000000" w:rsidRPr="00000000" w14:paraId="0000004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Weak importance</w:t>
            </w:r>
          </w:p>
        </w:tc>
        <w:tc>
          <w:tcPr/>
          <w:p w:rsidR="00000000" w:rsidDel="00000000" w:rsidP="00000000" w:rsidRDefault="00000000" w:rsidRPr="00000000" w14:paraId="0000004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r>
      <w:tr>
        <w:trPr>
          <w:cantSplit w:val="0"/>
          <w:tblHeader w:val="0"/>
        </w:trPr>
        <w:tc>
          <w:tcPr/>
          <w:p w:rsidR="00000000" w:rsidDel="00000000" w:rsidP="00000000" w:rsidRDefault="00000000" w:rsidRPr="00000000" w14:paraId="00000050">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4</m:t>
                  </m:r>
                </m:e>
              </m:acc>
            </m:oMath>
            <w:r w:rsidDel="00000000" w:rsidR="00000000" w:rsidRPr="00000000">
              <w:rPr>
                <w:rtl w:val="0"/>
              </w:rPr>
            </w:r>
          </w:p>
        </w:tc>
        <w:tc>
          <w:tcPr/>
          <w:p w:rsidR="00000000" w:rsidDel="00000000" w:rsidP="00000000" w:rsidRDefault="00000000" w:rsidRPr="00000000" w14:paraId="0000005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Middle value between 3 and 5</w:t>
            </w:r>
          </w:p>
        </w:tc>
        <w:tc>
          <w:tcPr/>
          <w:p w:rsidR="00000000" w:rsidDel="00000000" w:rsidP="00000000" w:rsidRDefault="00000000" w:rsidRPr="00000000" w14:paraId="0000005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r>
      <w:tr>
        <w:trPr>
          <w:cantSplit w:val="0"/>
          <w:tblHeader w:val="0"/>
        </w:trPr>
        <w:tc>
          <w:tcPr/>
          <w:p w:rsidR="00000000" w:rsidDel="00000000" w:rsidP="00000000" w:rsidRDefault="00000000" w:rsidRPr="00000000" w14:paraId="00000053">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5</m:t>
                  </m:r>
                </m:e>
              </m:acc>
            </m:oMath>
            <w:r w:rsidDel="00000000" w:rsidR="00000000" w:rsidRPr="00000000">
              <w:rPr>
                <w:rtl w:val="0"/>
              </w:rPr>
            </w:r>
          </w:p>
        </w:tc>
        <w:tc>
          <w:tcPr/>
          <w:p w:rsidR="00000000" w:rsidDel="00000000" w:rsidP="00000000" w:rsidRDefault="00000000" w:rsidRPr="00000000" w14:paraId="0000005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 importance</w:t>
            </w:r>
          </w:p>
        </w:tc>
        <w:tc>
          <w:tcPr/>
          <w:p w:rsidR="00000000" w:rsidDel="00000000" w:rsidP="00000000" w:rsidRDefault="00000000" w:rsidRPr="00000000" w14:paraId="0000005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(4,5,6)</w:t>
            </w:r>
          </w:p>
        </w:tc>
      </w:tr>
      <w:tr>
        <w:trPr>
          <w:cantSplit w:val="0"/>
          <w:tblHeader w:val="0"/>
        </w:trPr>
        <w:tc>
          <w:tcPr/>
          <w:p w:rsidR="00000000" w:rsidDel="00000000" w:rsidP="00000000" w:rsidRDefault="00000000" w:rsidRPr="00000000" w14:paraId="00000056">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6</m:t>
                  </m:r>
                </m:e>
              </m:acc>
            </m:oMath>
            <w:r w:rsidDel="00000000" w:rsidR="00000000" w:rsidRPr="00000000">
              <w:rPr>
                <w:rtl w:val="0"/>
              </w:rPr>
            </w:r>
          </w:p>
        </w:tc>
        <w:tc>
          <w:tcPr/>
          <w:p w:rsidR="00000000" w:rsidDel="00000000" w:rsidP="00000000" w:rsidRDefault="00000000" w:rsidRPr="00000000" w14:paraId="0000005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Middle value between 5 and 7</w:t>
            </w:r>
          </w:p>
        </w:tc>
        <w:tc>
          <w:tcPr/>
          <w:p w:rsidR="00000000" w:rsidDel="00000000" w:rsidP="00000000" w:rsidRDefault="00000000" w:rsidRPr="00000000" w14:paraId="0000005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(5,6,7)</w:t>
            </w:r>
          </w:p>
        </w:tc>
      </w:tr>
      <w:tr>
        <w:trPr>
          <w:cantSplit w:val="0"/>
          <w:tblHeader w:val="0"/>
        </w:trPr>
        <w:tc>
          <w:tcPr/>
          <w:p w:rsidR="00000000" w:rsidDel="00000000" w:rsidP="00000000" w:rsidRDefault="00000000" w:rsidRPr="00000000" w14:paraId="00000059">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7</m:t>
                  </m:r>
                </m:e>
              </m:acc>
            </m:oMath>
            <w:r w:rsidDel="00000000" w:rsidR="00000000" w:rsidRPr="00000000">
              <w:rPr>
                <w:rtl w:val="0"/>
              </w:rPr>
            </w:r>
          </w:p>
        </w:tc>
        <w:tc>
          <w:tcPr/>
          <w:p w:rsidR="00000000" w:rsidDel="00000000" w:rsidP="00000000" w:rsidRDefault="00000000" w:rsidRPr="00000000" w14:paraId="0000005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Very strong importance</w:t>
            </w:r>
          </w:p>
        </w:tc>
        <w:tc>
          <w:tcPr/>
          <w:p w:rsidR="00000000" w:rsidDel="00000000" w:rsidP="00000000" w:rsidRDefault="00000000" w:rsidRPr="00000000" w14:paraId="0000005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(6,7,8)</w:t>
            </w:r>
          </w:p>
        </w:tc>
      </w:tr>
      <w:tr>
        <w:trPr>
          <w:cantSplit w:val="0"/>
          <w:tblHeader w:val="0"/>
        </w:trPr>
        <w:tc>
          <w:tcPr/>
          <w:p w:rsidR="00000000" w:rsidDel="00000000" w:rsidP="00000000" w:rsidRDefault="00000000" w:rsidRPr="00000000" w14:paraId="0000005C">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8</m:t>
                  </m:r>
                </m:e>
              </m:acc>
            </m:oMath>
            <w:r w:rsidDel="00000000" w:rsidR="00000000" w:rsidRPr="00000000">
              <w:rPr>
                <w:rtl w:val="0"/>
              </w:rPr>
            </w:r>
          </w:p>
        </w:tc>
        <w:tc>
          <w:tcPr/>
          <w:p w:rsidR="00000000" w:rsidDel="00000000" w:rsidP="00000000" w:rsidRDefault="00000000" w:rsidRPr="00000000" w14:paraId="0000005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Middle value of 7 and 9</w:t>
            </w:r>
          </w:p>
        </w:tc>
        <w:tc>
          <w:tcPr/>
          <w:p w:rsidR="00000000" w:rsidDel="00000000" w:rsidP="00000000" w:rsidRDefault="00000000" w:rsidRPr="00000000" w14:paraId="0000005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(7,8,9)</w:t>
            </w:r>
          </w:p>
        </w:tc>
      </w:tr>
      <w:tr>
        <w:trPr>
          <w:cantSplit w:val="0"/>
          <w:tblHeader w:val="0"/>
        </w:trPr>
        <w:tc>
          <w:tcPr/>
          <w:p w:rsidR="00000000" w:rsidDel="00000000" w:rsidP="00000000" w:rsidRDefault="00000000" w:rsidRPr="00000000" w14:paraId="0000005F">
            <w:pPr>
              <w:jc w:val="center"/>
              <w:rPr>
                <w:rFonts w:ascii="Cambria Math" w:cs="Cambria Math" w:eastAsia="Cambria Math" w:hAnsi="Cambria Math"/>
                <w:sz w:val="24"/>
                <w:szCs w:val="24"/>
              </w:rPr>
            </w:pPr>
            <m:oMath>
              <m:acc>
                <m:accPr>
                  <m:chr m:val="̃"/>
                  <m:ctrlPr>
                    <w:rPr>
                      <w:rFonts w:ascii="Cambria Math" w:cs="Cambria Math" w:eastAsia="Cambria Math" w:hAnsi="Cambria Math"/>
                      <w:sz w:val="24"/>
                      <w:szCs w:val="24"/>
                    </w:rPr>
                  </m:ctrlPr>
                </m:accPr>
                <m:e>
                  <m:r>
                    <w:rPr>
                      <w:rFonts w:ascii="Cambria Math" w:cs="Cambria Math" w:eastAsia="Cambria Math" w:hAnsi="Cambria Math"/>
                      <w:sz w:val="24"/>
                      <w:szCs w:val="24"/>
                    </w:rPr>
                    <m:t xml:space="preserve">9</m:t>
                  </m:r>
                </m:e>
              </m:acc>
            </m:oMath>
            <w:r w:rsidDel="00000000" w:rsidR="00000000" w:rsidRPr="00000000">
              <w:rPr>
                <w:rtl w:val="0"/>
              </w:rPr>
            </w:r>
          </w:p>
        </w:tc>
        <w:tc>
          <w:tcPr/>
          <w:p w:rsidR="00000000" w:rsidDel="00000000" w:rsidP="00000000" w:rsidRDefault="00000000" w:rsidRPr="00000000" w14:paraId="0000006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Absolute importance</w:t>
            </w:r>
          </w:p>
        </w:tc>
        <w:tc>
          <w:tcPr/>
          <w:p w:rsidR="00000000" w:rsidDel="00000000" w:rsidP="00000000" w:rsidRDefault="00000000" w:rsidRPr="00000000" w14:paraId="0000006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(8,9,9)</w:t>
            </w:r>
          </w:p>
        </w:tc>
      </w:tr>
    </w:tbl>
    <w:p w:rsidR="00000000" w:rsidDel="00000000" w:rsidP="00000000" w:rsidRDefault="00000000" w:rsidRPr="00000000" w14:paraId="00000062">
      <w:pPr>
        <w:spacing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2: The pairwise comparison matrix</w:t>
      </w:r>
    </w:p>
    <w:p w:rsidR="00000000" w:rsidDel="00000000" w:rsidP="00000000" w:rsidRDefault="00000000" w:rsidRPr="00000000" w14:paraId="00000064">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3"/>
        <w:tblW w:w="8931.0" w:type="dxa"/>
        <w:jc w:val="left"/>
        <w:tblLayout w:type="fixed"/>
        <w:tblLook w:val="0400"/>
      </w:tblPr>
      <w:tblGrid>
        <w:gridCol w:w="567"/>
        <w:gridCol w:w="1134"/>
        <w:gridCol w:w="1134"/>
        <w:gridCol w:w="1134"/>
        <w:gridCol w:w="1134"/>
        <w:gridCol w:w="993"/>
        <w:gridCol w:w="850"/>
        <w:gridCol w:w="992"/>
        <w:gridCol w:w="993"/>
        <w:tblGridChange w:id="0">
          <w:tblGrid>
            <w:gridCol w:w="567"/>
            <w:gridCol w:w="1134"/>
            <w:gridCol w:w="1134"/>
            <w:gridCol w:w="1134"/>
            <w:gridCol w:w="1134"/>
            <w:gridCol w:w="993"/>
            <w:gridCol w:w="850"/>
            <w:gridCol w:w="992"/>
            <w:gridCol w:w="993"/>
          </w:tblGrid>
        </w:tblGridChange>
      </w:tblGrid>
      <w:tr>
        <w:trPr>
          <w:cantSplit w:val="1"/>
          <w:trHeight w:val="23" w:hRule="atLeast"/>
          <w:tblHeader w:val="1"/>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5">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6">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8">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06D">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r>
      <w:tr>
        <w:trPr>
          <w:cantSplit w:val="0"/>
          <w:trHeight w:val="23" w:hRule="atLeast"/>
          <w:tblHeader w:val="0"/>
        </w:trPr>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6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(7,8,9)</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(5,6,7)</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(4,5,6)</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(6,7,8)</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07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r>
      <w:tr>
        <w:trPr>
          <w:cantSplit w:val="0"/>
          <w:trHeight w:val="321" w:hRule="atLeast"/>
          <w:tblHeader w:val="0"/>
        </w:trPr>
        <w:tc>
          <w:tcPr>
            <w:tcMar>
              <w:top w:w="100.0" w:type="dxa"/>
              <w:left w:w="100.0" w:type="dxa"/>
              <w:bottom w:w="100.0" w:type="dxa"/>
              <w:right w:w="100.0" w:type="dxa"/>
            </w:tcMar>
          </w:tcPr>
          <w:p w:rsidR="00000000" w:rsidDel="00000000" w:rsidP="00000000" w:rsidRDefault="00000000" w:rsidRPr="00000000" w14:paraId="0000007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100.0" w:type="dxa"/>
              <w:left w:w="100.0" w:type="dxa"/>
              <w:bottom w:w="100.0" w:type="dxa"/>
              <w:right w:w="100.0" w:type="dxa"/>
            </w:tcMar>
          </w:tcPr>
          <w:p w:rsidR="00000000" w:rsidDel="00000000" w:rsidP="00000000" w:rsidRDefault="00000000" w:rsidRPr="00000000" w14:paraId="0000007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(1/9,1/8,1/7)</w:t>
            </w:r>
          </w:p>
        </w:tc>
        <w:tc>
          <w:tcPr>
            <w:tcMar>
              <w:top w:w="100.0" w:type="dxa"/>
              <w:left w:w="100.0" w:type="dxa"/>
              <w:bottom w:w="100.0" w:type="dxa"/>
              <w:right w:w="100.0" w:type="dxa"/>
            </w:tcMar>
          </w:tcPr>
          <w:p w:rsidR="00000000" w:rsidDel="00000000" w:rsidP="00000000" w:rsidRDefault="00000000" w:rsidRPr="00000000" w14:paraId="0000007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Mar>
              <w:top w:w="100.0" w:type="dxa"/>
              <w:left w:w="100.0" w:type="dxa"/>
              <w:bottom w:w="100.0" w:type="dxa"/>
              <w:right w:w="100.0" w:type="dxa"/>
            </w:tcMar>
          </w:tcPr>
          <w:p w:rsidR="00000000" w:rsidDel="00000000" w:rsidP="00000000" w:rsidRDefault="00000000" w:rsidRPr="00000000" w14:paraId="0000007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(1/6,1/5,1/4)</w:t>
            </w:r>
          </w:p>
        </w:tc>
        <w:tc>
          <w:tcPr>
            <w:tcMar>
              <w:top w:w="100.0" w:type="dxa"/>
              <w:left w:w="100.0" w:type="dxa"/>
              <w:bottom w:w="100.0" w:type="dxa"/>
              <w:right w:w="100.0" w:type="dxa"/>
            </w:tcMar>
          </w:tcPr>
          <w:p w:rsidR="00000000" w:rsidDel="00000000" w:rsidP="00000000" w:rsidRDefault="00000000" w:rsidRPr="00000000" w14:paraId="0000007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(1/4,1/3,1/2)</w:t>
            </w:r>
          </w:p>
        </w:tc>
        <w:tc>
          <w:tcPr>
            <w:tcMar>
              <w:top w:w="100.0" w:type="dxa"/>
              <w:left w:w="100.0" w:type="dxa"/>
              <w:bottom w:w="100.0" w:type="dxa"/>
              <w:right w:w="100.0" w:type="dxa"/>
            </w:tcMar>
          </w:tcPr>
          <w:p w:rsidR="00000000" w:rsidDel="00000000" w:rsidP="00000000" w:rsidRDefault="00000000" w:rsidRPr="00000000" w14:paraId="0000007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(1/5,1/4,1/3)</w:t>
            </w:r>
          </w:p>
        </w:tc>
        <w:tc>
          <w:tcPr>
            <w:tcMar>
              <w:top w:w="100.0" w:type="dxa"/>
              <w:left w:w="100.0" w:type="dxa"/>
              <w:bottom w:w="100.0" w:type="dxa"/>
              <w:right w:w="100.0" w:type="dxa"/>
            </w:tcMar>
          </w:tcPr>
          <w:p w:rsidR="00000000" w:rsidDel="00000000" w:rsidP="00000000" w:rsidRDefault="00000000" w:rsidRPr="00000000" w14:paraId="0000007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c>
          <w:tcPr>
            <w:tcMar>
              <w:top w:w="100.0" w:type="dxa"/>
              <w:left w:w="100.0" w:type="dxa"/>
              <w:bottom w:w="100.0" w:type="dxa"/>
              <w:right w:w="100.0" w:type="dxa"/>
            </w:tcMar>
          </w:tcPr>
          <w:p w:rsidR="00000000" w:rsidDel="00000000" w:rsidP="00000000" w:rsidRDefault="00000000" w:rsidRPr="00000000" w14:paraId="0000007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(1/8,1/7,1/6)</w:t>
            </w:r>
          </w:p>
        </w:tc>
        <w:tc>
          <w:tcPr>
            <w:tcMar>
              <w:top w:w="100.0" w:type="dxa"/>
              <w:left w:w="100.0" w:type="dxa"/>
              <w:bottom w:w="100.0" w:type="dxa"/>
              <w:right w:w="100.0" w:type="dxa"/>
            </w:tcMar>
          </w:tcPr>
          <w:p w:rsidR="00000000" w:rsidDel="00000000" w:rsidP="00000000" w:rsidRDefault="00000000" w:rsidRPr="00000000" w14:paraId="0000007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(1/7,1/6,1/5)</w:t>
            </w:r>
          </w:p>
        </w:tc>
      </w:tr>
      <w:tr>
        <w:trPr>
          <w:cantSplit w:val="0"/>
          <w:trHeight w:val="825" w:hRule="atLeast"/>
          <w:tblHeader w:val="0"/>
        </w:trPr>
        <w:tc>
          <w:tcPr>
            <w:tcMar>
              <w:top w:w="100.0" w:type="dxa"/>
              <w:left w:w="100.0" w:type="dxa"/>
              <w:bottom w:w="100.0" w:type="dxa"/>
              <w:right w:w="100.0" w:type="dxa"/>
            </w:tcMar>
          </w:tcPr>
          <w:p w:rsidR="00000000" w:rsidDel="00000000" w:rsidP="00000000" w:rsidRDefault="00000000" w:rsidRPr="00000000" w14:paraId="0000008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100.0" w:type="dxa"/>
              <w:left w:w="100.0" w:type="dxa"/>
              <w:bottom w:w="100.0" w:type="dxa"/>
              <w:right w:w="100.0" w:type="dxa"/>
            </w:tcMar>
          </w:tcPr>
          <w:p w:rsidR="00000000" w:rsidDel="00000000" w:rsidP="00000000" w:rsidRDefault="00000000" w:rsidRPr="00000000" w14:paraId="0000008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(1/5,1/4,1/3)</w:t>
            </w:r>
          </w:p>
        </w:tc>
        <w:tc>
          <w:tcPr>
            <w:tcMar>
              <w:top w:w="100.0" w:type="dxa"/>
              <w:left w:w="100.0" w:type="dxa"/>
              <w:bottom w:w="100.0" w:type="dxa"/>
              <w:right w:w="100.0" w:type="dxa"/>
            </w:tcMar>
          </w:tcPr>
          <w:p w:rsidR="00000000" w:rsidDel="00000000" w:rsidP="00000000" w:rsidRDefault="00000000" w:rsidRPr="00000000" w14:paraId="0000008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(4,5,6)</w:t>
            </w:r>
          </w:p>
        </w:tc>
        <w:tc>
          <w:tcPr>
            <w:tcMar>
              <w:top w:w="100.0" w:type="dxa"/>
              <w:left w:w="100.0" w:type="dxa"/>
              <w:bottom w:w="100.0" w:type="dxa"/>
              <w:right w:w="100.0" w:type="dxa"/>
            </w:tcMar>
          </w:tcPr>
          <w:p w:rsidR="00000000" w:rsidDel="00000000" w:rsidP="00000000" w:rsidRDefault="00000000" w:rsidRPr="00000000" w14:paraId="0000008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Mar>
              <w:top w:w="100.0" w:type="dxa"/>
              <w:left w:w="100.0" w:type="dxa"/>
              <w:bottom w:w="100.0" w:type="dxa"/>
              <w:right w:w="100.0" w:type="dxa"/>
            </w:tcMar>
          </w:tcPr>
          <w:p w:rsidR="00000000" w:rsidDel="00000000" w:rsidP="00000000" w:rsidRDefault="00000000" w:rsidRPr="00000000" w14:paraId="0000008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c>
          <w:tcPr>
            <w:tcMar>
              <w:top w:w="100.0" w:type="dxa"/>
              <w:left w:w="100.0" w:type="dxa"/>
              <w:bottom w:w="100.0" w:type="dxa"/>
              <w:right w:w="100.0" w:type="dxa"/>
            </w:tcMar>
          </w:tcPr>
          <w:p w:rsidR="00000000" w:rsidDel="00000000" w:rsidP="00000000" w:rsidRDefault="00000000" w:rsidRPr="00000000" w14:paraId="0000008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tcMar>
              <w:top w:w="100.0" w:type="dxa"/>
              <w:left w:w="100.0" w:type="dxa"/>
              <w:bottom w:w="100.0" w:type="dxa"/>
              <w:right w:w="100.0" w:type="dxa"/>
            </w:tcMar>
          </w:tcPr>
          <w:p w:rsidR="00000000" w:rsidDel="00000000" w:rsidP="00000000" w:rsidRDefault="00000000" w:rsidRPr="00000000" w14:paraId="0000008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tcMar>
              <w:top w:w="100.0" w:type="dxa"/>
              <w:left w:w="100.0" w:type="dxa"/>
              <w:bottom w:w="100.0" w:type="dxa"/>
              <w:right w:w="100.0" w:type="dxa"/>
            </w:tcMar>
          </w:tcPr>
          <w:p w:rsidR="00000000" w:rsidDel="00000000" w:rsidP="00000000" w:rsidRDefault="00000000" w:rsidRPr="00000000" w14:paraId="0000008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(1/4,1/3,1/2)</w:t>
            </w:r>
          </w:p>
        </w:tc>
        <w:tc>
          <w:tcPr>
            <w:tcMar>
              <w:top w:w="100.0" w:type="dxa"/>
              <w:left w:w="100.0" w:type="dxa"/>
              <w:bottom w:w="100.0" w:type="dxa"/>
              <w:right w:w="100.0" w:type="dxa"/>
            </w:tcMar>
          </w:tcPr>
          <w:p w:rsidR="00000000" w:rsidDel="00000000" w:rsidP="00000000" w:rsidRDefault="00000000" w:rsidRPr="00000000" w14:paraId="0000008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r>
      <w:tr>
        <w:trPr>
          <w:cantSplit w:val="0"/>
          <w:trHeight w:val="23" w:hRule="atLeast"/>
          <w:tblHeader w:val="0"/>
        </w:trPr>
        <w:tc>
          <w:tcPr>
            <w:tcMar>
              <w:top w:w="100.0" w:type="dxa"/>
              <w:left w:w="100.0" w:type="dxa"/>
              <w:bottom w:w="100.0" w:type="dxa"/>
              <w:right w:w="100.0" w:type="dxa"/>
            </w:tcMar>
          </w:tcPr>
          <w:p w:rsidR="00000000" w:rsidDel="00000000" w:rsidP="00000000" w:rsidRDefault="00000000" w:rsidRPr="00000000" w14:paraId="0000008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100.0" w:type="dxa"/>
              <w:left w:w="100.0" w:type="dxa"/>
              <w:bottom w:w="100.0" w:type="dxa"/>
              <w:right w:w="100.0" w:type="dxa"/>
            </w:tcMar>
          </w:tcPr>
          <w:p w:rsidR="00000000" w:rsidDel="00000000" w:rsidP="00000000" w:rsidRDefault="00000000" w:rsidRPr="00000000" w14:paraId="0000008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(1/7,1/6,1/5)</w:t>
            </w:r>
          </w:p>
        </w:tc>
        <w:tc>
          <w:tcPr>
            <w:tcMar>
              <w:top w:w="100.0" w:type="dxa"/>
              <w:left w:w="100.0" w:type="dxa"/>
              <w:bottom w:w="100.0" w:type="dxa"/>
              <w:right w:w="100.0" w:type="dxa"/>
            </w:tcMar>
          </w:tcPr>
          <w:p w:rsidR="00000000" w:rsidDel="00000000" w:rsidP="00000000" w:rsidRDefault="00000000" w:rsidRPr="00000000" w14:paraId="0000008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c>
          <w:tcPr>
            <w:tcMar>
              <w:top w:w="100.0" w:type="dxa"/>
              <w:left w:w="100.0" w:type="dxa"/>
              <w:bottom w:w="100.0" w:type="dxa"/>
              <w:right w:w="100.0" w:type="dxa"/>
            </w:tcMar>
          </w:tcPr>
          <w:p w:rsidR="00000000" w:rsidDel="00000000" w:rsidP="00000000" w:rsidRDefault="00000000" w:rsidRPr="00000000" w14:paraId="0000008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(1/4,1/3,1/2)</w:t>
            </w:r>
          </w:p>
        </w:tc>
        <w:tc>
          <w:tcPr>
            <w:tcMar>
              <w:top w:w="100.0" w:type="dxa"/>
              <w:left w:w="100.0" w:type="dxa"/>
              <w:bottom w:w="100.0" w:type="dxa"/>
              <w:right w:w="100.0" w:type="dxa"/>
            </w:tcMar>
          </w:tcPr>
          <w:p w:rsidR="00000000" w:rsidDel="00000000" w:rsidP="00000000" w:rsidRDefault="00000000" w:rsidRPr="00000000" w14:paraId="0000008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Mar>
              <w:top w:w="100.0" w:type="dxa"/>
              <w:left w:w="100.0" w:type="dxa"/>
              <w:bottom w:w="100.0" w:type="dxa"/>
              <w:right w:w="100.0" w:type="dxa"/>
            </w:tcMar>
          </w:tcPr>
          <w:p w:rsidR="00000000" w:rsidDel="00000000" w:rsidP="00000000" w:rsidRDefault="00000000" w:rsidRPr="00000000" w14:paraId="0000008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c>
          <w:tcPr>
            <w:tcMar>
              <w:top w:w="100.0" w:type="dxa"/>
              <w:left w:w="100.0" w:type="dxa"/>
              <w:bottom w:w="100.0" w:type="dxa"/>
              <w:right w:w="100.0" w:type="dxa"/>
            </w:tcMar>
          </w:tcPr>
          <w:p w:rsidR="00000000" w:rsidDel="00000000" w:rsidP="00000000" w:rsidRDefault="00000000" w:rsidRPr="00000000" w14:paraId="0000008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tcMar>
              <w:top w:w="100.0" w:type="dxa"/>
              <w:left w:w="100.0" w:type="dxa"/>
              <w:bottom w:w="100.0" w:type="dxa"/>
              <w:right w:w="100.0" w:type="dxa"/>
            </w:tcMar>
          </w:tcPr>
          <w:p w:rsidR="00000000" w:rsidDel="00000000" w:rsidP="00000000" w:rsidRDefault="00000000" w:rsidRPr="00000000" w14:paraId="0000009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(1/6,1/5,1/4)</w:t>
            </w:r>
          </w:p>
        </w:tc>
        <w:tc>
          <w:tcPr>
            <w:tcMar>
              <w:top w:w="100.0" w:type="dxa"/>
              <w:left w:w="100.0" w:type="dxa"/>
              <w:bottom w:w="100.0" w:type="dxa"/>
              <w:right w:w="100.0" w:type="dxa"/>
            </w:tcMar>
          </w:tcPr>
          <w:p w:rsidR="00000000" w:rsidDel="00000000" w:rsidP="00000000" w:rsidRDefault="00000000" w:rsidRPr="00000000" w14:paraId="0000009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(1/5,1/4,1/3)</w:t>
            </w:r>
          </w:p>
        </w:tc>
      </w:tr>
      <w:tr>
        <w:trPr>
          <w:cantSplit w:val="0"/>
          <w:trHeight w:val="825" w:hRule="atLeast"/>
          <w:tblHeader w:val="0"/>
        </w:trPr>
        <w:tc>
          <w:tcPr>
            <w:tcMar>
              <w:top w:w="100.0" w:type="dxa"/>
              <w:left w:w="100.0" w:type="dxa"/>
              <w:bottom w:w="100.0" w:type="dxa"/>
              <w:right w:w="100.0" w:type="dxa"/>
            </w:tcMar>
          </w:tcPr>
          <w:p w:rsidR="00000000" w:rsidDel="00000000" w:rsidP="00000000" w:rsidRDefault="00000000" w:rsidRPr="00000000" w14:paraId="0000009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100.0" w:type="dxa"/>
              <w:left w:w="100.0" w:type="dxa"/>
              <w:bottom w:w="100.0" w:type="dxa"/>
              <w:right w:w="100.0" w:type="dxa"/>
            </w:tcMar>
          </w:tcPr>
          <w:p w:rsidR="00000000" w:rsidDel="00000000" w:rsidP="00000000" w:rsidRDefault="00000000" w:rsidRPr="00000000" w14:paraId="0000009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(1/6,1/5,1/4)</w:t>
            </w:r>
          </w:p>
        </w:tc>
        <w:tc>
          <w:tcPr>
            <w:tcMar>
              <w:top w:w="100.0" w:type="dxa"/>
              <w:left w:w="100.0" w:type="dxa"/>
              <w:bottom w:w="100.0" w:type="dxa"/>
              <w:right w:w="100.0" w:type="dxa"/>
            </w:tcMar>
          </w:tcPr>
          <w:p w:rsidR="00000000" w:rsidDel="00000000" w:rsidP="00000000" w:rsidRDefault="00000000" w:rsidRPr="00000000" w14:paraId="0000009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tcMar>
              <w:top w:w="100.0" w:type="dxa"/>
              <w:left w:w="100.0" w:type="dxa"/>
              <w:bottom w:w="100.0" w:type="dxa"/>
              <w:right w:w="100.0" w:type="dxa"/>
            </w:tcMar>
          </w:tcPr>
          <w:p w:rsidR="00000000" w:rsidDel="00000000" w:rsidP="00000000" w:rsidRDefault="00000000" w:rsidRPr="00000000" w14:paraId="0000009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c>
          <w:tcPr>
            <w:tcMar>
              <w:top w:w="100.0" w:type="dxa"/>
              <w:left w:w="100.0" w:type="dxa"/>
              <w:bottom w:w="100.0" w:type="dxa"/>
              <w:right w:w="100.0" w:type="dxa"/>
            </w:tcMar>
          </w:tcPr>
          <w:p w:rsidR="00000000" w:rsidDel="00000000" w:rsidP="00000000" w:rsidRDefault="00000000" w:rsidRPr="00000000" w14:paraId="0000009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tcMar>
              <w:top w:w="100.0" w:type="dxa"/>
              <w:left w:w="100.0" w:type="dxa"/>
              <w:bottom w:w="100.0" w:type="dxa"/>
              <w:right w:w="100.0" w:type="dxa"/>
            </w:tcMar>
          </w:tcPr>
          <w:p w:rsidR="00000000" w:rsidDel="00000000" w:rsidP="00000000" w:rsidRDefault="00000000" w:rsidRPr="00000000" w14:paraId="0000009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Mar>
              <w:top w:w="100.0" w:type="dxa"/>
              <w:left w:w="100.0" w:type="dxa"/>
              <w:bottom w:w="100.0" w:type="dxa"/>
              <w:right w:w="100.0" w:type="dxa"/>
            </w:tcMar>
          </w:tcPr>
          <w:p w:rsidR="00000000" w:rsidDel="00000000" w:rsidP="00000000" w:rsidRDefault="00000000" w:rsidRPr="00000000" w14:paraId="0000009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c>
          <w:tcPr>
            <w:tcMar>
              <w:top w:w="100.0" w:type="dxa"/>
              <w:left w:w="100.0" w:type="dxa"/>
              <w:bottom w:w="100.0" w:type="dxa"/>
              <w:right w:w="100.0" w:type="dxa"/>
            </w:tcMar>
          </w:tcPr>
          <w:p w:rsidR="00000000" w:rsidDel="00000000" w:rsidP="00000000" w:rsidRDefault="00000000" w:rsidRPr="00000000" w14:paraId="0000009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(1/5,1/4,1/3)</w:t>
            </w:r>
          </w:p>
        </w:tc>
        <w:tc>
          <w:tcPr>
            <w:tcMar>
              <w:top w:w="100.0" w:type="dxa"/>
              <w:left w:w="100.0" w:type="dxa"/>
              <w:bottom w:w="100.0" w:type="dxa"/>
              <w:right w:w="100.0" w:type="dxa"/>
            </w:tcMar>
          </w:tcPr>
          <w:p w:rsidR="00000000" w:rsidDel="00000000" w:rsidP="00000000" w:rsidRDefault="00000000" w:rsidRPr="00000000" w14:paraId="0000009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(1/4,1/3,1/2)</w:t>
            </w:r>
          </w:p>
        </w:tc>
      </w:tr>
      <w:tr>
        <w:trPr>
          <w:cantSplit w:val="0"/>
          <w:trHeight w:val="23" w:hRule="atLeast"/>
          <w:tblHeader w:val="0"/>
        </w:trPr>
        <w:tc>
          <w:tcPr>
            <w:tcMar>
              <w:top w:w="100.0" w:type="dxa"/>
              <w:left w:w="100.0" w:type="dxa"/>
              <w:bottom w:w="100.0" w:type="dxa"/>
              <w:right w:w="100.0" w:type="dxa"/>
            </w:tcMar>
          </w:tcPr>
          <w:p w:rsidR="00000000" w:rsidDel="00000000" w:rsidP="00000000" w:rsidRDefault="00000000" w:rsidRPr="00000000" w14:paraId="0000009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100.0" w:type="dxa"/>
              <w:left w:w="100.0" w:type="dxa"/>
              <w:bottom w:w="100.0" w:type="dxa"/>
              <w:right w:w="100.0" w:type="dxa"/>
            </w:tcMar>
          </w:tcPr>
          <w:p w:rsidR="00000000" w:rsidDel="00000000" w:rsidP="00000000" w:rsidRDefault="00000000" w:rsidRPr="00000000" w14:paraId="0000009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(1/8,1/7,1/6)</w:t>
            </w:r>
          </w:p>
        </w:tc>
        <w:tc>
          <w:tcPr>
            <w:tcMar>
              <w:top w:w="100.0" w:type="dxa"/>
              <w:left w:w="100.0" w:type="dxa"/>
              <w:bottom w:w="100.0" w:type="dxa"/>
              <w:right w:w="100.0" w:type="dxa"/>
            </w:tcMar>
          </w:tcPr>
          <w:p w:rsidR="00000000" w:rsidDel="00000000" w:rsidP="00000000" w:rsidRDefault="00000000" w:rsidRPr="00000000" w14:paraId="0000009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tcMar>
              <w:top w:w="100.0" w:type="dxa"/>
              <w:left w:w="100.0" w:type="dxa"/>
              <w:bottom w:w="100.0" w:type="dxa"/>
              <w:right w:w="100.0" w:type="dxa"/>
            </w:tcMar>
          </w:tcPr>
          <w:p w:rsidR="00000000" w:rsidDel="00000000" w:rsidP="00000000" w:rsidRDefault="00000000" w:rsidRPr="00000000" w14:paraId="0000009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(1/5,1/4,1/3)</w:t>
            </w:r>
          </w:p>
        </w:tc>
        <w:tc>
          <w:tcPr>
            <w:tcMar>
              <w:top w:w="100.0" w:type="dxa"/>
              <w:left w:w="100.0" w:type="dxa"/>
              <w:bottom w:w="100.0" w:type="dxa"/>
              <w:right w:w="100.0" w:type="dxa"/>
            </w:tcMar>
          </w:tcPr>
          <w:p w:rsidR="00000000" w:rsidDel="00000000" w:rsidP="00000000" w:rsidRDefault="00000000" w:rsidRPr="00000000" w14:paraId="0000009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c>
          <w:tcPr>
            <w:tcMar>
              <w:top w:w="100.0" w:type="dxa"/>
              <w:left w:w="100.0" w:type="dxa"/>
              <w:bottom w:w="100.0" w:type="dxa"/>
              <w:right w:w="100.0" w:type="dxa"/>
            </w:tcMar>
          </w:tcPr>
          <w:p w:rsidR="00000000" w:rsidDel="00000000" w:rsidP="00000000" w:rsidRDefault="00000000" w:rsidRPr="00000000" w14:paraId="000000A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(1/4,1/3,1/2)</w:t>
            </w:r>
          </w:p>
        </w:tc>
        <w:tc>
          <w:tcPr>
            <w:tcMar>
              <w:top w:w="100.0" w:type="dxa"/>
              <w:left w:w="100.0" w:type="dxa"/>
              <w:bottom w:w="100.0" w:type="dxa"/>
              <w:right w:w="100.0" w:type="dxa"/>
            </w:tcMar>
          </w:tcPr>
          <w:p w:rsidR="00000000" w:rsidDel="00000000" w:rsidP="00000000" w:rsidRDefault="00000000" w:rsidRPr="00000000" w14:paraId="000000A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Mar>
              <w:top w:w="100.0" w:type="dxa"/>
              <w:left w:w="100.0" w:type="dxa"/>
              <w:bottom w:w="100.0" w:type="dxa"/>
              <w:right w:w="100.0" w:type="dxa"/>
            </w:tcMar>
          </w:tcPr>
          <w:p w:rsidR="00000000" w:rsidDel="00000000" w:rsidP="00000000" w:rsidRDefault="00000000" w:rsidRPr="00000000" w14:paraId="000000A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(1/7,1/6,1/5)</w:t>
            </w:r>
          </w:p>
        </w:tc>
        <w:tc>
          <w:tcPr>
            <w:tcMar>
              <w:top w:w="100.0" w:type="dxa"/>
              <w:left w:w="100.0" w:type="dxa"/>
              <w:bottom w:w="100.0" w:type="dxa"/>
              <w:right w:w="100.0" w:type="dxa"/>
            </w:tcMar>
          </w:tcPr>
          <w:p w:rsidR="00000000" w:rsidDel="00000000" w:rsidP="00000000" w:rsidRDefault="00000000" w:rsidRPr="00000000" w14:paraId="000000A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(1/6,1/5,1/4)</w:t>
            </w:r>
          </w:p>
        </w:tc>
      </w:tr>
      <w:tr>
        <w:trPr>
          <w:cantSplit w:val="0"/>
          <w:trHeight w:val="152" w:hRule="atLeast"/>
          <w:tblHeader w:val="0"/>
        </w:trPr>
        <w:tc>
          <w:tcPr>
            <w:tcMar>
              <w:top w:w="100.0" w:type="dxa"/>
              <w:left w:w="100.0" w:type="dxa"/>
              <w:bottom w:w="100.0" w:type="dxa"/>
              <w:right w:w="100.0" w:type="dxa"/>
            </w:tcMar>
          </w:tcPr>
          <w:p w:rsidR="00000000" w:rsidDel="00000000" w:rsidP="00000000" w:rsidRDefault="00000000" w:rsidRPr="00000000" w14:paraId="000000A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100.0" w:type="dxa"/>
              <w:left w:w="100.0" w:type="dxa"/>
              <w:bottom w:w="100.0" w:type="dxa"/>
              <w:right w:w="100.0" w:type="dxa"/>
            </w:tcMar>
          </w:tcPr>
          <w:p w:rsidR="00000000" w:rsidDel="00000000" w:rsidP="00000000" w:rsidRDefault="00000000" w:rsidRPr="00000000" w14:paraId="000000A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c>
          <w:tcPr>
            <w:tcMar>
              <w:top w:w="100.0" w:type="dxa"/>
              <w:left w:w="100.0" w:type="dxa"/>
              <w:bottom w:w="100.0" w:type="dxa"/>
              <w:right w:w="100.0" w:type="dxa"/>
            </w:tcMar>
          </w:tcPr>
          <w:p w:rsidR="00000000" w:rsidDel="00000000" w:rsidP="00000000" w:rsidRDefault="00000000" w:rsidRPr="00000000" w14:paraId="000000A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(6,7,8)</w:t>
            </w:r>
          </w:p>
        </w:tc>
        <w:tc>
          <w:tcPr>
            <w:tcMar>
              <w:top w:w="100.0" w:type="dxa"/>
              <w:left w:w="100.0" w:type="dxa"/>
              <w:bottom w:w="100.0" w:type="dxa"/>
              <w:right w:w="100.0" w:type="dxa"/>
            </w:tcMar>
          </w:tcPr>
          <w:p w:rsidR="00000000" w:rsidDel="00000000" w:rsidP="00000000" w:rsidRDefault="00000000" w:rsidRPr="00000000" w14:paraId="000000A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c>
          <w:tcPr>
            <w:tcMar>
              <w:top w:w="100.0" w:type="dxa"/>
              <w:left w:w="100.0" w:type="dxa"/>
              <w:bottom w:w="100.0" w:type="dxa"/>
              <w:right w:w="100.0" w:type="dxa"/>
            </w:tcMar>
          </w:tcPr>
          <w:p w:rsidR="00000000" w:rsidDel="00000000" w:rsidP="00000000" w:rsidRDefault="00000000" w:rsidRPr="00000000" w14:paraId="000000A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(4,5,6)</w:t>
            </w:r>
          </w:p>
        </w:tc>
        <w:tc>
          <w:tcPr>
            <w:tcMar>
              <w:top w:w="100.0" w:type="dxa"/>
              <w:left w:w="100.0" w:type="dxa"/>
              <w:bottom w:w="100.0" w:type="dxa"/>
              <w:right w:w="100.0" w:type="dxa"/>
            </w:tcMar>
          </w:tcPr>
          <w:p w:rsidR="00000000" w:rsidDel="00000000" w:rsidP="00000000" w:rsidRDefault="00000000" w:rsidRPr="00000000" w14:paraId="000000A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tcMar>
              <w:top w:w="100.0" w:type="dxa"/>
              <w:left w:w="100.0" w:type="dxa"/>
              <w:bottom w:w="100.0" w:type="dxa"/>
              <w:right w:w="100.0" w:type="dxa"/>
            </w:tcMar>
          </w:tcPr>
          <w:p w:rsidR="00000000" w:rsidDel="00000000" w:rsidP="00000000" w:rsidRDefault="00000000" w:rsidRPr="00000000" w14:paraId="000000A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(5,6,7)</w:t>
            </w:r>
          </w:p>
        </w:tc>
        <w:tc>
          <w:tcPr>
            <w:tcMar>
              <w:top w:w="100.0" w:type="dxa"/>
              <w:left w:w="100.0" w:type="dxa"/>
              <w:bottom w:w="100.0" w:type="dxa"/>
              <w:right w:w="100.0" w:type="dxa"/>
            </w:tcMar>
          </w:tcPr>
          <w:p w:rsidR="00000000" w:rsidDel="00000000" w:rsidP="00000000" w:rsidRDefault="00000000" w:rsidRPr="00000000" w14:paraId="000000A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Mar>
              <w:top w:w="100.0" w:type="dxa"/>
              <w:left w:w="100.0" w:type="dxa"/>
              <w:bottom w:w="100.0" w:type="dxa"/>
              <w:right w:w="100.0" w:type="dxa"/>
            </w:tcMar>
          </w:tcPr>
          <w:p w:rsidR="00000000" w:rsidDel="00000000" w:rsidP="00000000" w:rsidRDefault="00000000" w:rsidRPr="00000000" w14:paraId="000000A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r>
      <w:tr>
        <w:trPr>
          <w:cantSplit w:val="0"/>
          <w:trHeight w:val="132" w:hRule="atLeast"/>
          <w:tblHeader w:val="0"/>
        </w:trPr>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AD">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A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(1/4,1/3,1/2)</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A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(5,6,7)</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(4,5,6)</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(1/3,1/2,1)</w:t>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B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r>
    </w:tbl>
    <w:p w:rsidR="00000000" w:rsidDel="00000000" w:rsidP="00000000" w:rsidRDefault="00000000" w:rsidRPr="00000000" w14:paraId="000000B6">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S(total u, total m, total l)= (161.73, 128.45, 97.58).</w:t>
      </w:r>
    </w:p>
    <w:p w:rsidR="00000000" w:rsidDel="00000000" w:rsidP="00000000" w:rsidRDefault="00000000" w:rsidRPr="00000000" w14:paraId="000000B8">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V(</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 = hgt(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μ</m:t>
            </m:r>
          </m:e>
          <m: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2</m:t>
                </m:r>
              </m:sub>
            </m:sSub>
          </m:sub>
        </m:sSub>
        <m:r>
          <w:rPr>
            <w:rFonts w:ascii="Cambria Math" w:cs="Cambria Math" w:eastAsia="Cambria Math" w:hAnsi="Cambria Math"/>
            <w:sz w:val="24"/>
            <w:szCs w:val="24"/>
          </w:rPr>
          <m:t xml:space="preserve">(d)</m:t>
        </m:r>
      </m:oMath>
      <w:r w:rsidDel="00000000" w:rsidR="00000000" w:rsidRPr="00000000">
        <w:rPr>
          <w:rtl w:val="0"/>
        </w:rPr>
      </w:r>
    </w:p>
    <w:p w:rsidR="00000000" w:rsidDel="00000000" w:rsidP="00000000" w:rsidRDefault="00000000" w:rsidRPr="00000000" w14:paraId="000000B9">
      <w:pPr>
        <w:jc w:val="center"/>
        <w:rPr/>
      </w:pPr>
      <m:oMath>
        <m:r>
          <w:rPr>
            <w:rFonts w:ascii="Cambria Math" w:cs="Cambria Math" w:eastAsia="Cambria Math" w:hAnsi="Cambria Math"/>
            <w:sz w:val="24"/>
            <w:szCs w:val="24"/>
          </w:rPr>
          <m:t xml:space="preserve">=</m:t>
        </m:r>
        <m:r>
          <w:rPr/>
          <m:t xml:space="preserve">{</m:t>
        </m:r>
        <m:r>
          <w:rPr>
            <w:rFonts w:ascii="Cambria Math" w:cs="Cambria Math" w:eastAsia="Cambria Math" w:hAnsi="Cambria Math"/>
            <w:sz w:val="24"/>
            <w:szCs w:val="24"/>
          </w:rPr>
          <m:t xml:space="preserve">1                       </m:t>
        </m:r>
        <m:r>
          <w:rPr/>
          <m:t xml:space="preserve"> </m:t>
        </m:r>
        <m:r>
          <w:rPr>
            <w:rFonts w:ascii="Cambria Math" w:cs="Cambria Math" w:eastAsia="Cambria Math" w:hAnsi="Cambria Math"/>
            <w:sz w:val="24"/>
            <w:szCs w:val="24"/>
          </w:rPr>
          <m:t xml:space="preserve">                  0                     </m:t>
        </m:r>
        <m:r>
          <w:rPr/>
          <m:t xml:space="preserve"> </m:t>
        </m:r>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u</m:t>
                </m:r>
              </m:e>
              <m:sub>
                <m:r>
                  <w:rPr>
                    <w:rFonts w:ascii="Cambria Math" w:cs="Cambria Math" w:eastAsia="Cambria Math" w:hAnsi="Cambria Math"/>
                    <w:sz w:val="24"/>
                    <w:szCs w:val="24"/>
                  </w:rPr>
                  <m:t xml:space="preserve">2</m:t>
                </m:r>
              </m:sub>
            </m:sSub>
          </m:num>
          <m:den>
            <m:d>
              <m:dPr>
                <m:begChr m:val="("/>
                <m:endChr m:val=")"/>
                <m:ctrlPr>
                  <w:rPr>
                    <w:rFonts w:ascii="Cambria Math" w:cs="Cambria Math" w:eastAsia="Cambria Math" w:hAnsi="Cambria Math"/>
                    <w:sz w:val="24"/>
                    <w:szCs w:val="24"/>
                  </w:rPr>
                </m:ctrlPr>
              </m:dPr>
              <m:e>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u</m:t>
                    </m:r>
                  </m:e>
                  <m:sub>
                    <m:r>
                      <w:rPr>
                        <w:rFonts w:ascii="Cambria Math" w:cs="Cambria Math" w:eastAsia="Cambria Math" w:hAnsi="Cambria Math"/>
                        <w:sz w:val="24"/>
                        <w:szCs w:val="24"/>
                      </w:rPr>
                      <m:t xml:space="preserve">2</m:t>
                    </m:r>
                  </m:sub>
                </m:sSub>
              </m:e>
            </m:d>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m:t>
            </m:r>
          </m:den>
        </m:f>
        <m:r>
          <w:rPr>
            <w:rFonts w:ascii="Cambria Math" w:cs="Cambria Math" w:eastAsia="Cambria Math" w:hAnsi="Cambria Math"/>
            <w:sz w:val="24"/>
            <w:szCs w:val="24"/>
          </w:rPr>
          <m:t xml:space="preserve"> </m:t>
        </m:r>
        <m:r>
          <w:rPr/>
          <m:t xml:space="preserve"> </m:t>
        </m:r>
        <m:r>
          <w:rPr>
            <w:rFonts w:ascii="Cambria Math" w:cs="Cambria Math" w:eastAsia="Cambria Math" w:hAnsi="Cambria Math"/>
            <w:sz w:val="24"/>
            <w:szCs w:val="24"/>
          </w:rPr>
          <m:t xml:space="preserve">    if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2</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m</m:t>
            </m:r>
          </m:e>
          <m:sub>
            <m:r>
              <w:rPr>
                <w:rFonts w:ascii="Cambria Math" w:cs="Cambria Math" w:eastAsia="Cambria Math" w:hAnsi="Cambria Math"/>
                <w:sz w:val="24"/>
                <w:szCs w:val="24"/>
              </w:rPr>
              <m:t xml:space="preserve">1</m:t>
            </m:r>
          </m:sub>
        </m:sSub>
        <m:r>
          <w:rPr/>
          <m:t xml:space="preserve"> </m:t>
        </m:r>
        <m:r>
          <w:rPr>
            <w:rFonts w:ascii="Cambria Math" w:cs="Cambria Math" w:eastAsia="Cambria Math" w:hAnsi="Cambria Math"/>
            <w:sz w:val="24"/>
            <w:szCs w:val="24"/>
          </w:rPr>
          <m:t xml:space="preserve">if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u</m:t>
            </m:r>
          </m:e>
          <m:sub>
            <m:r>
              <w:rPr>
                <w:rFonts w:ascii="Cambria Math" w:cs="Cambria Math" w:eastAsia="Cambria Math" w:hAnsi="Cambria Math"/>
                <w:sz w:val="24"/>
                <w:szCs w:val="24"/>
              </w:rPr>
              <m:t xml:space="preserve">2</m:t>
            </m:r>
          </m:sub>
        </m:sSub>
        <m:r>
          <w:rPr/>
          <m:t xml:space="preserve"> </m:t>
        </m:r>
        <m:r>
          <w:rPr>
            <w:rFonts w:ascii="Cambria Math" w:cs="Cambria Math" w:eastAsia="Cambria Math" w:hAnsi="Cambria Math"/>
            <w:sz w:val="24"/>
            <w:szCs w:val="24"/>
          </w:rPr>
          <m:t xml:space="preserve">otherwise</m:t>
        </m:r>
        <m:r>
          <w:rPr/>
          <m:t xml:space="preserve">   }</m:t>
        </m:r>
      </m:oMath>
      <w:r w:rsidDel="00000000" w:rsidR="00000000" w:rsidRPr="00000000">
        <w:rPr>
          <w:rtl w:val="0"/>
        </w:rPr>
      </w:r>
    </w:p>
    <w:p w:rsidR="00000000" w:rsidDel="00000000" w:rsidP="00000000" w:rsidRDefault="00000000" w:rsidRPr="00000000" w14:paraId="000000BA">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d is the ordinate of the highest intersection point between µ</w:t>
      </w:r>
      <w:r w:rsidDel="00000000" w:rsidR="00000000" w:rsidRPr="00000000">
        <w:rPr>
          <w:rFonts w:ascii="Times New Roman" w:cs="Times New Roman" w:eastAsia="Times New Roman" w:hAnsi="Times New Roman"/>
          <w:sz w:val="24"/>
          <w:szCs w:val="24"/>
          <w:vertAlign w:val="subscript"/>
          <w:rtl w:val="0"/>
        </w:rPr>
        <w:t xml:space="preserve">M1</w:t>
      </w:r>
      <w:r w:rsidDel="00000000" w:rsidR="00000000" w:rsidRPr="00000000">
        <w:rPr>
          <w:rFonts w:ascii="Times New Roman" w:cs="Times New Roman" w:eastAsia="Times New Roman" w:hAnsi="Times New Roman"/>
          <w:sz w:val="24"/>
          <w:szCs w:val="24"/>
          <w:rtl w:val="0"/>
        </w:rPr>
        <w:t xml:space="preserve"> &amp; µ</w:t>
      </w:r>
      <w:r w:rsidDel="00000000" w:rsidR="00000000" w:rsidRPr="00000000">
        <w:rPr>
          <w:rFonts w:ascii="Times New Roman" w:cs="Times New Roman" w:eastAsia="Times New Roman" w:hAnsi="Times New Roman"/>
          <w:sz w:val="24"/>
          <w:szCs w:val="24"/>
          <w:vertAlign w:val="subscript"/>
          <w:rtl w:val="0"/>
        </w:rPr>
        <w:t xml:space="preserve">M2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B">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3: Degree of possibility</w:t>
      </w:r>
    </w:p>
    <w:p w:rsidR="00000000" w:rsidDel="00000000" w:rsidP="00000000" w:rsidRDefault="00000000" w:rsidRPr="00000000" w14:paraId="000000BD">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4"/>
        <w:tblW w:w="5728.0" w:type="dxa"/>
        <w:jc w:val="left"/>
        <w:tblInd w:w="1627.0" w:type="dxa"/>
        <w:tblLayout w:type="fixed"/>
        <w:tblLook w:val="0400"/>
      </w:tblPr>
      <w:tblGrid>
        <w:gridCol w:w="454"/>
        <w:gridCol w:w="740"/>
        <w:gridCol w:w="454"/>
        <w:gridCol w:w="740"/>
        <w:gridCol w:w="740"/>
        <w:gridCol w:w="620"/>
        <w:gridCol w:w="500"/>
        <w:gridCol w:w="740"/>
        <w:gridCol w:w="740"/>
        <w:tblGridChange w:id="0">
          <w:tblGrid>
            <w:gridCol w:w="454"/>
            <w:gridCol w:w="740"/>
            <w:gridCol w:w="454"/>
            <w:gridCol w:w="740"/>
            <w:gridCol w:w="740"/>
            <w:gridCol w:w="620"/>
            <w:gridCol w:w="500"/>
            <w:gridCol w:w="740"/>
            <w:gridCol w:w="740"/>
          </w:tblGrid>
        </w:tblGridChange>
      </w:tblGrid>
      <w:tr>
        <w:trPr>
          <w:cantSplit w:val="1"/>
          <w:trHeight w:val="68" w:hRule="atLeast"/>
          <w:tblHeader w:val="1"/>
        </w:trPr>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BE">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BF">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1">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3">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5">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Borders>
              <w:top w:color="000000" w:space="0" w:sz="12" w:val="single"/>
              <w:bottom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6">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r>
      <w:tr>
        <w:trPr>
          <w:cantSplit w:val="0"/>
          <w:trHeight w:val="25" w:hRule="atLeast"/>
          <w:tblHeader w:val="0"/>
        </w:trPr>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shd w:fill="ffffff" w:val="clear"/>
            <w:tcMar>
              <w:top w:w="100.0" w:type="dxa"/>
              <w:left w:w="100.0" w:type="dxa"/>
              <w:bottom w:w="100.0" w:type="dxa"/>
              <w:right w:w="100.0" w:type="dxa"/>
            </w:tcMar>
          </w:tcPr>
          <w:p w:rsidR="00000000" w:rsidDel="00000000" w:rsidP="00000000" w:rsidRDefault="00000000" w:rsidRPr="00000000" w14:paraId="000000C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5"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D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shd w:fill="ffffff" w:val="clear"/>
            <w:tcMar>
              <w:top w:w="100.0" w:type="dxa"/>
              <w:left w:w="100.0" w:type="dxa"/>
              <w:bottom w:w="100.0" w:type="dxa"/>
              <w:right w:w="100.0" w:type="dxa"/>
            </w:tcMar>
          </w:tcPr>
          <w:p w:rsidR="00000000" w:rsidDel="00000000" w:rsidP="00000000" w:rsidRDefault="00000000" w:rsidRPr="00000000" w14:paraId="000000D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D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D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0.333</w:t>
            </w:r>
          </w:p>
        </w:tc>
        <w:tc>
          <w:tcPr>
            <w:shd w:fill="ffffff" w:val="clear"/>
            <w:tcMar>
              <w:top w:w="100.0" w:type="dxa"/>
              <w:left w:w="100.0" w:type="dxa"/>
              <w:bottom w:w="100.0" w:type="dxa"/>
              <w:right w:w="100.0" w:type="dxa"/>
            </w:tcMar>
          </w:tcPr>
          <w:p w:rsidR="00000000" w:rsidDel="00000000" w:rsidP="00000000" w:rsidRDefault="00000000" w:rsidRPr="00000000" w14:paraId="000000D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0.333</w:t>
            </w:r>
          </w:p>
        </w:tc>
        <w:tc>
          <w:tcPr>
            <w:shd w:fill="ffffff" w:val="clear"/>
            <w:tcMar>
              <w:top w:w="100.0" w:type="dxa"/>
              <w:left w:w="100.0" w:type="dxa"/>
              <w:bottom w:w="100.0" w:type="dxa"/>
              <w:right w:w="100.0" w:type="dxa"/>
            </w:tcMar>
          </w:tcPr>
          <w:p w:rsidR="00000000" w:rsidDel="00000000" w:rsidP="00000000" w:rsidRDefault="00000000" w:rsidRPr="00000000" w14:paraId="000000D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D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shd w:fill="ffffff" w:val="clear"/>
            <w:tcMar>
              <w:top w:w="100.0" w:type="dxa"/>
              <w:left w:w="100.0" w:type="dxa"/>
              <w:bottom w:w="100.0" w:type="dxa"/>
              <w:right w:w="100.0" w:type="dxa"/>
            </w:tcMar>
          </w:tcPr>
          <w:p w:rsidR="00000000" w:rsidDel="00000000" w:rsidP="00000000" w:rsidRDefault="00000000" w:rsidRPr="00000000" w14:paraId="000000D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D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rHeight w:val="25"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D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shd w:fill="ffffff" w:val="clear"/>
            <w:tcMar>
              <w:top w:w="100.0" w:type="dxa"/>
              <w:left w:w="100.0" w:type="dxa"/>
              <w:bottom w:w="100.0" w:type="dxa"/>
              <w:right w:w="100.0" w:type="dxa"/>
            </w:tcMar>
          </w:tcPr>
          <w:p w:rsidR="00000000" w:rsidDel="00000000" w:rsidP="00000000" w:rsidRDefault="00000000" w:rsidRPr="00000000" w14:paraId="000000D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0.214</w:t>
            </w:r>
          </w:p>
        </w:tc>
        <w:tc>
          <w:tcPr>
            <w:shd w:fill="ffffff" w:val="clear"/>
            <w:tcMar>
              <w:top w:w="100.0" w:type="dxa"/>
              <w:left w:w="100.0" w:type="dxa"/>
              <w:bottom w:w="100.0" w:type="dxa"/>
              <w:right w:w="100.0" w:type="dxa"/>
            </w:tcMar>
          </w:tcPr>
          <w:p w:rsidR="00000000" w:rsidDel="00000000" w:rsidP="00000000" w:rsidRDefault="00000000" w:rsidRPr="00000000" w14:paraId="000000D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D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D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D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D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E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0.438</w:t>
            </w:r>
          </w:p>
        </w:tc>
        <w:tc>
          <w:tcPr>
            <w:shd w:fill="ffffff" w:val="clear"/>
            <w:tcMar>
              <w:top w:w="100.0" w:type="dxa"/>
              <w:left w:w="100.0" w:type="dxa"/>
              <w:bottom w:w="100.0" w:type="dxa"/>
              <w:right w:w="100.0" w:type="dxa"/>
            </w:tcMar>
          </w:tcPr>
          <w:p w:rsidR="00000000" w:rsidDel="00000000" w:rsidP="00000000" w:rsidRDefault="00000000" w:rsidRPr="00000000" w14:paraId="000000E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0.647</w:t>
            </w:r>
          </w:p>
        </w:tc>
      </w:tr>
      <w:tr>
        <w:trPr>
          <w:cantSplit w:val="0"/>
          <w:trHeight w:val="221"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E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shd w:fill="ffffff" w:val="clear"/>
            <w:tcMar>
              <w:top w:w="100.0" w:type="dxa"/>
              <w:left w:w="100.0" w:type="dxa"/>
              <w:bottom w:w="100.0" w:type="dxa"/>
              <w:right w:w="100.0" w:type="dxa"/>
            </w:tcMar>
          </w:tcPr>
          <w:p w:rsidR="00000000" w:rsidDel="00000000" w:rsidP="00000000" w:rsidRDefault="00000000" w:rsidRPr="00000000" w14:paraId="000000E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E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E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0.647</w:t>
            </w:r>
          </w:p>
        </w:tc>
        <w:tc>
          <w:tcPr>
            <w:shd w:fill="ffffff" w:val="clear"/>
            <w:tcMar>
              <w:top w:w="100.0" w:type="dxa"/>
              <w:left w:w="100.0" w:type="dxa"/>
              <w:bottom w:w="100.0" w:type="dxa"/>
              <w:right w:w="100.0" w:type="dxa"/>
            </w:tcMar>
          </w:tcPr>
          <w:p w:rsidR="00000000" w:rsidDel="00000000" w:rsidP="00000000" w:rsidRDefault="00000000" w:rsidRPr="00000000" w14:paraId="000000E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E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w:t>
            </w:r>
          </w:p>
        </w:tc>
        <w:tc>
          <w:tcPr>
            <w:shd w:fill="ffffff" w:val="clear"/>
            <w:tcMar>
              <w:top w:w="100.0" w:type="dxa"/>
              <w:left w:w="100.0" w:type="dxa"/>
              <w:bottom w:w="100.0" w:type="dxa"/>
              <w:right w:w="100.0" w:type="dxa"/>
            </w:tcMar>
          </w:tcPr>
          <w:p w:rsidR="00000000" w:rsidDel="00000000" w:rsidP="00000000" w:rsidRDefault="00000000" w:rsidRPr="00000000" w14:paraId="000000E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E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E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rPr>
          <w:cantSplit w:val="0"/>
          <w:trHeight w:val="25"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E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shd w:fill="ffffff" w:val="clear"/>
            <w:tcMar>
              <w:top w:w="100.0" w:type="dxa"/>
              <w:left w:w="100.0" w:type="dxa"/>
              <w:bottom w:w="100.0" w:type="dxa"/>
              <w:right w:w="100.0" w:type="dxa"/>
            </w:tcMar>
          </w:tcPr>
          <w:p w:rsidR="00000000" w:rsidDel="00000000" w:rsidP="00000000" w:rsidRDefault="00000000" w:rsidRPr="00000000" w14:paraId="000000E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E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E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0.857</w:t>
            </w:r>
          </w:p>
        </w:tc>
        <w:tc>
          <w:tcPr>
            <w:shd w:fill="ffffff" w:val="clear"/>
            <w:tcMar>
              <w:top w:w="100.0" w:type="dxa"/>
              <w:left w:w="100.0" w:type="dxa"/>
              <w:bottom w:w="100.0" w:type="dxa"/>
              <w:right w:w="100.0" w:type="dxa"/>
            </w:tcMar>
          </w:tcPr>
          <w:p w:rsidR="00000000" w:rsidDel="00000000" w:rsidP="00000000" w:rsidRDefault="00000000" w:rsidRPr="00000000" w14:paraId="000000E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F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F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F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0.143</w:t>
            </w:r>
          </w:p>
        </w:tc>
        <w:tc>
          <w:tcPr>
            <w:shd w:fill="ffffff" w:val="clear"/>
            <w:tcMar>
              <w:top w:w="100.0" w:type="dxa"/>
              <w:left w:w="100.0" w:type="dxa"/>
              <w:bottom w:w="100.0" w:type="dxa"/>
              <w:right w:w="100.0" w:type="dxa"/>
            </w:tcMar>
          </w:tcPr>
          <w:p w:rsidR="00000000" w:rsidDel="00000000" w:rsidP="00000000" w:rsidRDefault="00000000" w:rsidRPr="00000000" w14:paraId="000000F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0.444</w:t>
            </w:r>
          </w:p>
        </w:tc>
      </w:tr>
      <w:tr>
        <w:trPr>
          <w:cantSplit w:val="0"/>
          <w:trHeight w:val="25"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F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shd w:fill="ffffff" w:val="clear"/>
            <w:tcMar>
              <w:top w:w="100.0" w:type="dxa"/>
              <w:left w:w="100.0" w:type="dxa"/>
              <w:bottom w:w="100.0" w:type="dxa"/>
              <w:right w:w="100.0" w:type="dxa"/>
            </w:tcMar>
          </w:tcPr>
          <w:p w:rsidR="00000000" w:rsidDel="00000000" w:rsidP="00000000" w:rsidRDefault="00000000" w:rsidRPr="00000000" w14:paraId="000000F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F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F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c>
          <w:tcPr>
            <w:shd w:fill="ffffff" w:val="clear"/>
            <w:tcMar>
              <w:top w:w="100.0" w:type="dxa"/>
              <w:left w:w="100.0" w:type="dxa"/>
              <w:bottom w:w="100.0" w:type="dxa"/>
              <w:right w:w="100.0" w:type="dxa"/>
            </w:tcMar>
          </w:tcPr>
          <w:p w:rsidR="00000000" w:rsidDel="00000000" w:rsidP="00000000" w:rsidRDefault="00000000" w:rsidRPr="00000000" w14:paraId="000000F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w:t>
            </w:r>
          </w:p>
        </w:tc>
        <w:tc>
          <w:tcPr>
            <w:shd w:fill="ffffff" w:val="clear"/>
            <w:tcMar>
              <w:top w:w="100.0" w:type="dxa"/>
              <w:left w:w="100.0" w:type="dxa"/>
              <w:bottom w:w="100.0" w:type="dxa"/>
              <w:right w:w="100.0" w:type="dxa"/>
            </w:tcMar>
          </w:tcPr>
          <w:p w:rsidR="00000000" w:rsidDel="00000000" w:rsidP="00000000" w:rsidRDefault="00000000" w:rsidRPr="00000000" w14:paraId="000000F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c>
          <w:tcPr>
            <w:shd w:fill="ffffff" w:val="clear"/>
            <w:tcMar>
              <w:top w:w="100.0" w:type="dxa"/>
              <w:left w:w="100.0" w:type="dxa"/>
              <w:bottom w:w="100.0" w:type="dxa"/>
              <w:right w:w="100.0" w:type="dxa"/>
            </w:tcMar>
          </w:tcPr>
          <w:p w:rsidR="00000000" w:rsidDel="00000000" w:rsidP="00000000" w:rsidRDefault="00000000" w:rsidRPr="00000000" w14:paraId="000000F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0F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shd w:fill="ffffff" w:val="clear"/>
            <w:tcMar>
              <w:top w:w="100.0" w:type="dxa"/>
              <w:left w:w="100.0" w:type="dxa"/>
              <w:bottom w:w="100.0" w:type="dxa"/>
              <w:right w:w="100.0" w:type="dxa"/>
            </w:tcMar>
          </w:tcPr>
          <w:p w:rsidR="00000000" w:rsidDel="00000000" w:rsidP="00000000" w:rsidRDefault="00000000" w:rsidRPr="00000000" w14:paraId="000000F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0.091</w:t>
            </w:r>
          </w:p>
        </w:tc>
      </w:tr>
      <w:tr>
        <w:trPr>
          <w:cantSplit w:val="0"/>
          <w:trHeight w:val="25"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FD">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shd w:fill="ffffff" w:val="clear"/>
            <w:tcMar>
              <w:top w:w="100.0" w:type="dxa"/>
              <w:left w:w="100.0" w:type="dxa"/>
              <w:bottom w:w="100.0" w:type="dxa"/>
              <w:right w:w="100.0" w:type="dxa"/>
            </w:tcMar>
          </w:tcPr>
          <w:p w:rsidR="00000000" w:rsidDel="00000000" w:rsidP="00000000" w:rsidRDefault="00000000" w:rsidRPr="00000000" w14:paraId="000000F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0.571</w:t>
            </w:r>
          </w:p>
        </w:tc>
        <w:tc>
          <w:tcPr>
            <w:shd w:fill="ffffff" w:val="clear"/>
            <w:tcMar>
              <w:top w:w="100.0" w:type="dxa"/>
              <w:left w:w="100.0" w:type="dxa"/>
              <w:bottom w:w="100.0" w:type="dxa"/>
              <w:right w:w="100.0" w:type="dxa"/>
            </w:tcMar>
          </w:tcPr>
          <w:p w:rsidR="00000000" w:rsidDel="00000000" w:rsidP="00000000" w:rsidRDefault="00000000" w:rsidRPr="00000000" w14:paraId="000000F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10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10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10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10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10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ffffff" w:val="clear"/>
            <w:tcMar>
              <w:top w:w="100.0" w:type="dxa"/>
              <w:left w:w="100.0" w:type="dxa"/>
              <w:bottom w:w="100.0" w:type="dxa"/>
              <w:right w:w="100.0" w:type="dxa"/>
            </w:tcMar>
          </w:tcPr>
          <w:p w:rsidR="00000000" w:rsidDel="00000000" w:rsidP="00000000" w:rsidRDefault="00000000" w:rsidRPr="00000000" w14:paraId="0000010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5" w:hRule="atLeast"/>
          <w:tblHeader w:val="0"/>
        </w:trPr>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6">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0.357</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0.714</w:t>
            </w:r>
          </w:p>
        </w:tc>
        <w:tc>
          <w:tcPr>
            <w:tcBorders>
              <w:bottom w:color="000000" w:space="0" w:sz="12"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10F">
      <w:pPr>
        <w:spacing w:after="12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120" w:line="288" w:lineRule="auto"/>
        <w:ind w:firstLine="426"/>
        <w:jc w:val="both"/>
        <w:rPr>
          <w:rFonts w:ascii="Times New Roman" w:cs="Times New Roman" w:eastAsia="Times New Roman" w:hAnsi="Times New Roman"/>
          <w:sz w:val="24"/>
          <w:szCs w:val="24"/>
        </w:rPr>
      </w:pPr>
      <w:sdt>
        <w:sdtPr>
          <w:id w:val="1489684986"/>
          <w:tag w:val="goog_rdk_0"/>
        </w:sdtPr>
        <w:sdtContent>
          <w:r w:rsidDel="00000000" w:rsidR="00000000" w:rsidRPr="00000000">
            <w:rPr>
              <w:rFonts w:ascii="Gungsuh" w:cs="Gungsuh" w:eastAsia="Gungsuh" w:hAnsi="Gungsuh"/>
              <w:sz w:val="24"/>
              <w:szCs w:val="24"/>
              <w:rtl w:val="0"/>
            </w:rPr>
            <w:t xml:space="preserve">Calculate A(i) = min V(M ≥ Mk) for Main Criteria:</w:t>
          </w:r>
        </w:sdtContent>
      </w:sdt>
    </w:p>
    <w:p w:rsidR="00000000" w:rsidDel="00000000" w:rsidP="00000000" w:rsidRDefault="00000000" w:rsidRPr="00000000" w14:paraId="00000111">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A(1) = 1</w:t>
      </w:r>
    </w:p>
    <w:p w:rsidR="00000000" w:rsidDel="00000000" w:rsidP="00000000" w:rsidRDefault="00000000" w:rsidRPr="00000000" w14:paraId="00000112">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A(2) = 0</w:t>
      </w:r>
    </w:p>
    <w:p w:rsidR="00000000" w:rsidDel="00000000" w:rsidP="00000000" w:rsidRDefault="00000000" w:rsidRPr="00000000" w14:paraId="00000113">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A(3) = 0.214</w:t>
      </w:r>
    </w:p>
    <w:p w:rsidR="00000000" w:rsidDel="00000000" w:rsidP="00000000" w:rsidRDefault="00000000" w:rsidRPr="00000000" w14:paraId="00000114">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A(4) = 0</w:t>
      </w:r>
    </w:p>
    <w:p w:rsidR="00000000" w:rsidDel="00000000" w:rsidP="00000000" w:rsidRDefault="00000000" w:rsidRPr="00000000" w14:paraId="00000115">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A(5) = 0</w:t>
      </w:r>
    </w:p>
    <w:p w:rsidR="00000000" w:rsidDel="00000000" w:rsidP="00000000" w:rsidRDefault="00000000" w:rsidRPr="00000000" w14:paraId="00000116">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A(6) = 0</w:t>
      </w:r>
    </w:p>
    <w:p w:rsidR="00000000" w:rsidDel="00000000" w:rsidP="00000000" w:rsidRDefault="00000000" w:rsidRPr="00000000" w14:paraId="00000117">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A(7) = 0.571</w:t>
      </w:r>
    </w:p>
    <w:p w:rsidR="00000000" w:rsidDel="00000000" w:rsidP="00000000" w:rsidRDefault="00000000" w:rsidRPr="00000000" w14:paraId="00000118">
      <w:pPr>
        <w:spacing w:after="120" w:line="288" w:lineRule="auto"/>
        <w:ind w:left="11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A(8) = 0.357</w:t>
      </w:r>
    </w:p>
    <w:p w:rsidR="00000000" w:rsidDel="00000000" w:rsidP="00000000" w:rsidRDefault="00000000" w:rsidRPr="00000000" w14:paraId="00000119">
      <w:pPr>
        <w:spacing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Vector A = (1, 0, 0.214, 0, 0, 0, 0.571, 0.357)</w:t>
      </w:r>
    </w:p>
    <w:p w:rsidR="00000000" w:rsidDel="00000000" w:rsidP="00000000" w:rsidRDefault="00000000" w:rsidRPr="00000000" w14:paraId="0000011A">
      <w:pPr>
        <w:spacing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4: Fuzzy AHP weights</w:t>
      </w:r>
    </w:p>
    <w:p w:rsidR="00000000" w:rsidDel="00000000" w:rsidP="00000000" w:rsidRDefault="00000000" w:rsidRPr="00000000" w14:paraId="0000011C">
      <w:pPr>
        <w:spacing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5"/>
        <w:tblW w:w="2418.0" w:type="dxa"/>
        <w:jc w:val="left"/>
        <w:tblInd w:w="3307.0" w:type="dxa"/>
        <w:tblLayout w:type="fixed"/>
        <w:tblLook w:val="0400"/>
      </w:tblPr>
      <w:tblGrid>
        <w:gridCol w:w="1027"/>
        <w:gridCol w:w="222"/>
        <w:gridCol w:w="222"/>
        <w:gridCol w:w="947"/>
        <w:tblGridChange w:id="0">
          <w:tblGrid>
            <w:gridCol w:w="1027"/>
            <w:gridCol w:w="222"/>
            <w:gridCol w:w="222"/>
            <w:gridCol w:w="947"/>
          </w:tblGrid>
        </w:tblGridChange>
      </w:tblGrid>
      <w:tr>
        <w:trPr>
          <w:cantSplit w:val="0"/>
          <w:tblHeader w:val="0"/>
        </w:trPr>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1D">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Criteria</w:t>
            </w:r>
          </w:p>
        </w:tc>
        <w:tc>
          <w:tcPr>
            <w:tcBorders>
              <w:top w:color="000000" w:space="0" w:sz="12" w:val="single"/>
              <w:bottom w:color="000000" w:space="0" w:sz="12" w:val="single"/>
            </w:tcBorders>
          </w:tcPr>
          <w:p w:rsidR="00000000" w:rsidDel="00000000" w:rsidP="00000000" w:rsidRDefault="00000000" w:rsidRPr="00000000" w14:paraId="0000011E">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11F">
            <w:pPr>
              <w:spacing w:after="120" w:line="288"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tcPr>
          <w:p w:rsidR="00000000" w:rsidDel="00000000" w:rsidP="00000000" w:rsidRDefault="00000000" w:rsidRPr="00000000" w14:paraId="0000012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Weight</w:t>
            </w:r>
          </w:p>
        </w:tc>
      </w:tr>
      <w:tr>
        <w:trPr>
          <w:cantSplit w:val="0"/>
          <w:tblHeader w:val="0"/>
        </w:trPr>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S1</w:t>
            </w:r>
          </w:p>
        </w:tc>
        <w:tc>
          <w:tcPr>
            <w:tcBorders>
              <w:top w:color="000000" w:space="0" w:sz="12" w:val="single"/>
            </w:tcBorders>
          </w:tcPr>
          <w:p w:rsidR="00000000" w:rsidDel="00000000" w:rsidP="00000000" w:rsidRDefault="00000000" w:rsidRPr="00000000" w14:paraId="00000122">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Pr>
          <w:p w:rsidR="00000000" w:rsidDel="00000000" w:rsidP="00000000" w:rsidRDefault="00000000" w:rsidRPr="00000000" w14:paraId="00000123">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tcBorders>
            <w:tcMar>
              <w:top w:w="100.0" w:type="dxa"/>
              <w:left w:w="100.0" w:type="dxa"/>
              <w:bottom w:w="100.0" w:type="dxa"/>
              <w:right w:w="100.0" w:type="dxa"/>
            </w:tcMar>
          </w:tcPr>
          <w:p w:rsidR="00000000" w:rsidDel="00000000" w:rsidP="00000000" w:rsidRDefault="00000000" w:rsidRPr="00000000" w14:paraId="0000012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S7</w:t>
            </w:r>
          </w:p>
        </w:tc>
        <w:tc>
          <w:tcPr/>
          <w:p w:rsidR="00000000" w:rsidDel="00000000" w:rsidP="00000000" w:rsidRDefault="00000000" w:rsidRPr="00000000" w14:paraId="00000126">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7">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S8</w:t>
            </w:r>
          </w:p>
        </w:tc>
        <w:tc>
          <w:tcPr/>
          <w:p w:rsidR="00000000" w:rsidDel="00000000" w:rsidP="00000000" w:rsidRDefault="00000000" w:rsidRPr="00000000" w14:paraId="0000012A">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B">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2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S3</w:t>
            </w:r>
          </w:p>
        </w:tc>
        <w:tc>
          <w:tcPr/>
          <w:p w:rsidR="00000000" w:rsidDel="00000000" w:rsidP="00000000" w:rsidRDefault="00000000" w:rsidRPr="00000000" w14:paraId="0000012E">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F">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S2</w:t>
            </w:r>
          </w:p>
        </w:tc>
        <w:tc>
          <w:tcPr/>
          <w:p w:rsidR="00000000" w:rsidDel="00000000" w:rsidP="00000000" w:rsidRDefault="00000000" w:rsidRPr="00000000" w14:paraId="00000132">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3">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S4</w:t>
            </w:r>
          </w:p>
        </w:tc>
        <w:tc>
          <w:tcPr/>
          <w:p w:rsidR="00000000" w:rsidDel="00000000" w:rsidP="00000000" w:rsidRDefault="00000000" w:rsidRPr="00000000" w14:paraId="00000136">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7">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S5</w:t>
            </w:r>
          </w:p>
        </w:tc>
        <w:tc>
          <w:tcPr/>
          <w:p w:rsidR="00000000" w:rsidDel="00000000" w:rsidP="00000000" w:rsidRDefault="00000000" w:rsidRPr="00000000" w14:paraId="0000013A">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B">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rHeight w:val="31" w:hRule="atLeast"/>
          <w:tblHeader w:val="0"/>
        </w:trPr>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3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S6</w:t>
            </w:r>
          </w:p>
        </w:tc>
        <w:tc>
          <w:tcPr>
            <w:tcBorders>
              <w:bottom w:color="000000" w:space="0" w:sz="12" w:val="single"/>
            </w:tcBorders>
          </w:tcPr>
          <w:p w:rsidR="00000000" w:rsidDel="00000000" w:rsidP="00000000" w:rsidRDefault="00000000" w:rsidRPr="00000000" w14:paraId="0000013E">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13F">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14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bl>
    <w:p w:rsidR="00000000" w:rsidDel="00000000" w:rsidP="00000000" w:rsidRDefault="00000000" w:rsidRPr="00000000" w14:paraId="00000141">
      <w:pPr>
        <w:spacing w:after="120"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Criterion S2, S4, S5 and S6 have a zero weight not due to calculation error but due to a known constraint of Fuzzy AHP extent analysis method by Chang in 1996 (Zaid et al., 2024). Under this technique, the weight is calculated using the minimum of the degree of possibility, when a criterion fails to prevail over any other in pairwise comparisons, the value is zero after normalization.</w:t>
      </w:r>
    </w:p>
    <w:p w:rsidR="00000000" w:rsidDel="00000000" w:rsidP="00000000" w:rsidRDefault="00000000" w:rsidRPr="00000000" w14:paraId="00000143">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score of zero FAHP weight, however, does not imply that these criteria are not important. To overcome this weakness, the paper incorporates the DEMATEL analysis to test the cause-and-effect relationships among criteria. Results show that some of these criteria fall into the category of cause group and have an indirect impact on some of the main factors including the cost of transportation, transportation time and cargo characteristics. Therefore, the integration of FAHP and DEMATEL will assure that these criteria are still considered in the decision framework as their indirect impacts are taken into account.</w:t>
      </w:r>
    </w:p>
    <w:p w:rsidR="00000000" w:rsidDel="00000000" w:rsidP="00000000" w:rsidRDefault="00000000" w:rsidRPr="00000000" w14:paraId="00000144">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Consistency Index (CI): 0</w:t>
      </w:r>
    </w:p>
    <w:p w:rsidR="00000000" w:rsidDel="00000000" w:rsidP="00000000" w:rsidRDefault="00000000" w:rsidRPr="00000000" w14:paraId="00000145">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Consistency Ratio (CR): 0</w:t>
      </w:r>
    </w:p>
    <w:p w:rsidR="00000000" w:rsidDel="00000000" w:rsidP="00000000" w:rsidRDefault="00000000" w:rsidRPr="00000000" w14:paraId="00000146">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matrix is perfectly consistent.</w:t>
      </w:r>
    </w:p>
    <w:p w:rsidR="00000000" w:rsidDel="00000000" w:rsidP="00000000" w:rsidRDefault="00000000" w:rsidRPr="00000000" w14:paraId="00000147">
      <w:pPr>
        <w:spacing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3.3. DEMATEL causal mapping and model assessment </w:t>
      </w:r>
    </w:p>
    <w:p w:rsidR="00000000" w:rsidDel="00000000" w:rsidP="00000000" w:rsidRDefault="00000000" w:rsidRPr="00000000" w14:paraId="0000014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expert-based evaluations are commonly used in DEMATEL applications, this study does not rely on expert interviews. Instead, the causal influence values were derived and synthesized from empirical findings reported in prior academic and industry studies. This approach helps reduce the ambiguity and subjectivity associated with linguistic judgments from experts, thereby improving the reliability and interpretability of the evaluation process. </w:t>
      </w:r>
    </w:p>
    <w:p w:rsidR="00000000" w:rsidDel="00000000" w:rsidP="00000000" w:rsidRDefault="00000000" w:rsidRPr="00000000" w14:paraId="0000014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DEMATEL was employed to analyze the cause-and-effect relationships among the criteria and assess the relative relationships among them. To follow the procedure of the DEMATEL method, ten 8 x 8 non-negative matrices were constructed. The average matrix was then computed based on the equation:</w:t>
      </w:r>
    </w:p>
    <w:p w:rsidR="00000000" w:rsidDel="00000000" w:rsidP="00000000" w:rsidRDefault="00000000" w:rsidRPr="00000000" w14:paraId="0000014A">
      <w:pPr>
        <w:jc w:val="center"/>
        <w:rPr>
          <w:rFonts w:ascii="Cambria Math" w:cs="Cambria Math" w:eastAsia="Cambria Math" w:hAnsi="Cambria Math"/>
          <w:sz w:val="24"/>
          <w:szCs w:val="24"/>
        </w:rPr>
      </w:pPr>
      <m:oMath>
        <m:sSub>
          <m:sSubPr>
            <m:ctrlPr>
              <w:rPr>
                <w:rFonts w:ascii="Cambria Math" w:cs="Cambria Math" w:eastAsia="Cambria Math" w:hAnsi="Cambria Math"/>
                <w:sz w:val="24"/>
                <w:szCs w:val="24"/>
              </w:rPr>
            </m:ctrlPr>
          </m:sSubPr>
          <m:e>
            <m:r>
              <m:t>α</m:t>
            </m:r>
          </m:e>
          <m:sub>
            <m:r>
              <w:rPr>
                <w:rFonts w:ascii="Cambria Math" w:cs="Cambria Math" w:eastAsia="Cambria Math" w:hAnsi="Cambria Math"/>
                <w:sz w:val="24"/>
                <w:szCs w:val="24"/>
              </w:rPr>
              <m:t xml:space="preserve">ij</m:t>
            </m:r>
          </m:sub>
        </m:sSub>
        <m:r>
          <w:rPr>
            <w:rFonts w:ascii="Cambria Math" w:cs="Cambria Math" w:eastAsia="Cambria Math" w:hAnsi="Cambria Math"/>
            <w:sz w:val="24"/>
            <w:szCs w:val="24"/>
          </w:rPr>
          <m:t xml:space="preserve">=</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H</m:t>
            </m:r>
          </m:den>
        </m:f>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k=1</m:t>
            </m:r>
          </m:sub>
          <m:sup>
            <m:r>
              <w:rPr>
                <w:rFonts w:ascii="Cambria Math" w:cs="Cambria Math" w:eastAsia="Cambria Math" w:hAnsi="Cambria Math"/>
                <w:sz w:val="24"/>
                <w:szCs w:val="24"/>
              </w:rPr>
              <m:t xml:space="preserve">H</m:t>
            </m:r>
          </m:sup>
        </m:nary>
        <m:sSubSup>
          <m:sSubSupPr>
            <m:ctrlPr>
              <w:rPr>
                <w:rFonts w:ascii="Cambria Math" w:cs="Cambria Math" w:eastAsia="Cambria Math" w:hAnsi="Cambria Math"/>
                <w:sz w:val="24"/>
                <w:szCs w:val="24"/>
              </w:rPr>
            </m:ctrlPr>
          </m:sSubSupPr>
          <m:e>
            <m:r>
              <w:rPr>
                <w:rFonts w:ascii="Cambria Math" w:cs="Cambria Math" w:eastAsia="Cambria Math" w:hAnsi="Cambria Math"/>
                <w:sz w:val="24"/>
                <w:szCs w:val="24"/>
              </w:rPr>
              <m:t xml:space="preserve">S</m:t>
            </m:r>
          </m:e>
          <m:sub>
            <m:r>
              <w:rPr>
                <w:rFonts w:ascii="Cambria Math" w:cs="Cambria Math" w:eastAsia="Cambria Math" w:hAnsi="Cambria Math"/>
                <w:sz w:val="24"/>
                <w:szCs w:val="24"/>
              </w:rPr>
              <m:t xml:space="preserve">ij</m:t>
            </m:r>
          </m:sub>
          <m:sup>
            <m:r>
              <w:rPr>
                <w:rFonts w:ascii="Cambria Math" w:cs="Cambria Math" w:eastAsia="Cambria Math" w:hAnsi="Cambria Math"/>
                <w:sz w:val="24"/>
                <w:szCs w:val="24"/>
              </w:rPr>
              <m:t xml:space="preserve">k</m:t>
            </m:r>
          </m:sup>
        </m:sSubSup>
      </m:oMath>
      <w:r w:rsidDel="00000000" w:rsidR="00000000" w:rsidRPr="00000000">
        <w:rPr>
          <w:rtl w:val="0"/>
        </w:rPr>
      </w:r>
    </w:p>
    <w:p w:rsidR="00000000" w:rsidDel="00000000" w:rsidP="00000000" w:rsidRDefault="00000000" w:rsidRPr="00000000" w14:paraId="0000014B">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illustrated below in Table 5.</w:t>
      </w:r>
    </w:p>
    <w:p w:rsidR="00000000" w:rsidDel="00000000" w:rsidP="00000000" w:rsidRDefault="00000000" w:rsidRPr="00000000" w14:paraId="0000014C">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5: Direct-relation matrix</w:t>
      </w:r>
    </w:p>
    <w:p w:rsidR="00000000" w:rsidDel="00000000" w:rsidP="00000000" w:rsidRDefault="00000000" w:rsidRPr="00000000" w14:paraId="0000014E">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6"/>
        <w:tblW w:w="4890.999999999999" w:type="dxa"/>
        <w:jc w:val="left"/>
        <w:tblInd w:w="2498.0" w:type="dxa"/>
        <w:tblLayout w:type="fixed"/>
        <w:tblLook w:val="0400"/>
      </w:tblPr>
      <w:tblGrid>
        <w:gridCol w:w="454"/>
        <w:gridCol w:w="454"/>
        <w:gridCol w:w="454"/>
        <w:gridCol w:w="454"/>
        <w:gridCol w:w="454"/>
        <w:gridCol w:w="454"/>
        <w:gridCol w:w="454"/>
        <w:gridCol w:w="454"/>
        <w:gridCol w:w="454"/>
        <w:gridCol w:w="805"/>
        <w:tblGridChange w:id="0">
          <w:tblGrid>
            <w:gridCol w:w="454"/>
            <w:gridCol w:w="454"/>
            <w:gridCol w:w="454"/>
            <w:gridCol w:w="454"/>
            <w:gridCol w:w="454"/>
            <w:gridCol w:w="454"/>
            <w:gridCol w:w="454"/>
            <w:gridCol w:w="454"/>
            <w:gridCol w:w="454"/>
            <w:gridCol w:w="805"/>
          </w:tblGrid>
        </w:tblGridChange>
      </w:tblGrid>
      <w:tr>
        <w:trPr>
          <w:cantSplit w:val="1"/>
          <w:trHeight w:val="1257" w:hRule="atLeast"/>
          <w:tblHeader w:val="1"/>
        </w:trPr>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4F">
            <w:pPr>
              <w:spacing w:after="120" w:line="288"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0">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1">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2">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3">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4">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5">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6">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7">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8">
            <w:pPr>
              <w:jc w:val="center"/>
              <w:rPr>
                <w:rFonts w:ascii="Times New Roman" w:cs="Times New Roman" w:eastAsia="Times New Roman" w:hAnsi="Times New Roman"/>
                <w:b w:val="1"/>
                <w:bCs w:val="1"/>
                <w:sz w:val="24"/>
                <w:szCs w:val="24"/>
                <w:vertAlign w:val="subscript"/>
              </w:rPr>
            </w:pPr>
            <m:oMath>
              <m:nary>
                <m:naryPr>
                  <m:chr m:val="∑"/>
                  <m:ctrlPr>
                    <w:rPr>
                      <w:rFonts w:ascii="Cambria Math" w:cs="Cambria Math" w:eastAsia="Cambria Math" w:hAnsi="Cambria Math"/>
                      <w:sz w:val="24"/>
                      <w:szCs w:val="24"/>
                      <w:vertAlign w:val="subscript"/>
                    </w:rPr>
                  </m:ctrlPr>
                </m:naryPr>
                <m:sub>
                  <m:r>
                    <w:rPr>
                      <w:rFonts w:ascii="Cambria Math" w:cs="Cambria Math" w:eastAsia="Cambria Math" w:hAnsi="Cambria Math"/>
                      <w:sz w:val="24"/>
                      <w:szCs w:val="24"/>
                      <w:vertAlign w:val="subscript"/>
                    </w:rPr>
                    <m:t xml:space="preserve">j=1</m:t>
                  </m:r>
                </m:sub>
                <m:sup>
                  <m:r>
                    <w:rPr>
                      <w:rFonts w:ascii="Cambria Math" w:cs="Cambria Math" w:eastAsia="Cambria Math" w:hAnsi="Cambria Math"/>
                      <w:sz w:val="24"/>
                      <w:szCs w:val="24"/>
                      <w:vertAlign w:val="subscript"/>
                    </w:rPr>
                    <m:t xml:space="preserve">n</m:t>
                  </m:r>
                </m:sup>
              </m:nary>
              <m:r>
                <w:rPr>
                  <w:rFonts w:ascii="Cambria Math" w:cs="Cambria Math" w:eastAsia="Cambria Math" w:hAnsi="Cambria Math"/>
                  <w:sz w:val="24"/>
                  <w:szCs w:val="24"/>
                  <w:vertAlign w:val="subscript"/>
                </w:rPr>
                <m:t xml:space="preserve">a</m:t>
              </m:r>
              <m:r>
                <w:rPr>
                  <w:rFonts w:ascii="Times New Roman" w:cs="Times New Roman" w:eastAsia="Times New Roman" w:hAnsi="Times New Roman"/>
                  <w:b w:val="1"/>
                  <w:bCs w:val="1"/>
                  <w:sz w:val="24"/>
                  <w:szCs w:val="24"/>
                  <w:vertAlign w:val="subscript"/>
                </w:rPr>
                <m:t xml:space="preserve">ij</m:t>
              </m:r>
            </m:oMath>
            <w:r w:rsidDel="00000000" w:rsidR="00000000" w:rsidRPr="00000000">
              <w:rPr>
                <w:rtl w:val="0"/>
              </w:rPr>
            </w:r>
          </w:p>
        </w:tc>
      </w:tr>
      <w:tr>
        <w:trPr>
          <w:cantSplit w:val="0"/>
          <w:tblHeader w:val="0"/>
        </w:trPr>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59">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5A">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5B">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5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5D">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5E">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5F">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60">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61">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62">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63">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40.0" w:type="dxa"/>
              <w:left w:w="40.0" w:type="dxa"/>
              <w:bottom w:w="40.0" w:type="dxa"/>
              <w:right w:w="40.0" w:type="dxa"/>
            </w:tcMar>
            <w:vAlign w:val="center"/>
          </w:tcPr>
          <w:p w:rsidR="00000000" w:rsidDel="00000000" w:rsidP="00000000" w:rsidRDefault="00000000" w:rsidRPr="00000000" w14:paraId="00000164">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165">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66">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40.0" w:type="dxa"/>
              <w:left w:w="40.0" w:type="dxa"/>
              <w:bottom w:w="40.0" w:type="dxa"/>
              <w:right w:w="40.0" w:type="dxa"/>
            </w:tcMar>
            <w:vAlign w:val="center"/>
          </w:tcPr>
          <w:p w:rsidR="00000000" w:rsidDel="00000000" w:rsidP="00000000" w:rsidRDefault="00000000" w:rsidRPr="00000000" w14:paraId="00000167">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40.0" w:type="dxa"/>
              <w:left w:w="40.0" w:type="dxa"/>
              <w:bottom w:w="40.0" w:type="dxa"/>
              <w:right w:w="40.0" w:type="dxa"/>
            </w:tcMar>
            <w:vAlign w:val="center"/>
          </w:tcPr>
          <w:p w:rsidR="00000000" w:rsidDel="00000000" w:rsidP="00000000" w:rsidRDefault="00000000" w:rsidRPr="00000000" w14:paraId="00000168">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c>
          <w:tcPr>
            <w:tcMar>
              <w:top w:w="40.0" w:type="dxa"/>
              <w:left w:w="40.0" w:type="dxa"/>
              <w:bottom w:w="40.0" w:type="dxa"/>
              <w:right w:w="40.0" w:type="dxa"/>
            </w:tcMar>
            <w:vAlign w:val="center"/>
          </w:tcPr>
          <w:p w:rsidR="00000000" w:rsidDel="00000000" w:rsidP="00000000" w:rsidRDefault="00000000" w:rsidRPr="00000000" w14:paraId="00000169">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16A">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6B">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Mar>
              <w:top w:w="40.0" w:type="dxa"/>
              <w:left w:w="40.0" w:type="dxa"/>
              <w:bottom w:w="40.0" w:type="dxa"/>
              <w:right w:w="40.0" w:type="dxa"/>
            </w:tcMar>
            <w:vAlign w:val="center"/>
          </w:tcPr>
          <w:p w:rsidR="00000000" w:rsidDel="00000000" w:rsidP="00000000" w:rsidRDefault="00000000" w:rsidRPr="00000000" w14:paraId="0000016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6D">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40.0" w:type="dxa"/>
              <w:left w:w="40.0" w:type="dxa"/>
              <w:bottom w:w="40.0" w:type="dxa"/>
              <w:right w:w="40.0" w:type="dxa"/>
            </w:tcMar>
            <w:vAlign w:val="center"/>
          </w:tcPr>
          <w:p w:rsidR="00000000" w:rsidDel="00000000" w:rsidP="00000000" w:rsidRDefault="00000000" w:rsidRPr="00000000" w14:paraId="0000016E">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tcMar>
              <w:top w:w="40.0" w:type="dxa"/>
              <w:left w:w="40.0" w:type="dxa"/>
              <w:bottom w:w="40.0" w:type="dxa"/>
              <w:right w:w="40.0" w:type="dxa"/>
            </w:tcMar>
            <w:vAlign w:val="center"/>
          </w:tcPr>
          <w:p w:rsidR="00000000" w:rsidDel="00000000" w:rsidP="00000000" w:rsidRDefault="00000000" w:rsidRPr="00000000" w14:paraId="0000016F">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40.0" w:type="dxa"/>
              <w:left w:w="40.0" w:type="dxa"/>
              <w:bottom w:w="40.0" w:type="dxa"/>
              <w:right w:w="40.0" w:type="dxa"/>
            </w:tcMar>
            <w:vAlign w:val="center"/>
          </w:tcPr>
          <w:p w:rsidR="00000000" w:rsidDel="00000000" w:rsidP="00000000" w:rsidRDefault="00000000" w:rsidRPr="00000000" w14:paraId="00000170">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71">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Mar>
              <w:top w:w="40.0" w:type="dxa"/>
              <w:left w:w="40.0" w:type="dxa"/>
              <w:bottom w:w="40.0" w:type="dxa"/>
              <w:right w:w="40.0" w:type="dxa"/>
            </w:tcMar>
            <w:vAlign w:val="center"/>
          </w:tcPr>
          <w:p w:rsidR="00000000" w:rsidDel="00000000" w:rsidP="00000000" w:rsidRDefault="00000000" w:rsidRPr="00000000" w14:paraId="00000172">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40.0" w:type="dxa"/>
              <w:left w:w="40.0" w:type="dxa"/>
              <w:bottom w:w="40.0" w:type="dxa"/>
              <w:right w:w="40.0" w:type="dxa"/>
            </w:tcMar>
            <w:vAlign w:val="center"/>
          </w:tcPr>
          <w:p w:rsidR="00000000" w:rsidDel="00000000" w:rsidP="00000000" w:rsidRDefault="00000000" w:rsidRPr="00000000" w14:paraId="00000173">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40.0" w:type="dxa"/>
              <w:left w:w="40.0" w:type="dxa"/>
              <w:bottom w:w="40.0" w:type="dxa"/>
              <w:right w:w="40.0" w:type="dxa"/>
            </w:tcMar>
            <w:vAlign w:val="center"/>
          </w:tcPr>
          <w:p w:rsidR="00000000" w:rsidDel="00000000" w:rsidP="00000000" w:rsidRDefault="00000000" w:rsidRPr="00000000" w14:paraId="00000174">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Mar>
              <w:top w:w="40.0" w:type="dxa"/>
              <w:left w:w="40.0" w:type="dxa"/>
              <w:bottom w:w="40.0" w:type="dxa"/>
              <w:right w:w="40.0" w:type="dxa"/>
            </w:tcMar>
            <w:vAlign w:val="center"/>
          </w:tcPr>
          <w:p w:rsidR="00000000" w:rsidDel="00000000" w:rsidP="00000000" w:rsidRDefault="00000000" w:rsidRPr="00000000" w14:paraId="00000175">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40.0" w:type="dxa"/>
              <w:left w:w="40.0" w:type="dxa"/>
              <w:bottom w:w="40.0" w:type="dxa"/>
              <w:right w:w="40.0" w:type="dxa"/>
            </w:tcMar>
            <w:vAlign w:val="center"/>
          </w:tcPr>
          <w:p w:rsidR="00000000" w:rsidDel="00000000" w:rsidP="00000000" w:rsidRDefault="00000000" w:rsidRPr="00000000" w14:paraId="00000176">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77">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40.0" w:type="dxa"/>
              <w:left w:w="40.0" w:type="dxa"/>
              <w:bottom w:w="40.0" w:type="dxa"/>
              <w:right w:w="40.0" w:type="dxa"/>
            </w:tcMar>
            <w:vAlign w:val="center"/>
          </w:tcPr>
          <w:p w:rsidR="00000000" w:rsidDel="00000000" w:rsidP="00000000" w:rsidRDefault="00000000" w:rsidRPr="00000000" w14:paraId="00000178">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40.0" w:type="dxa"/>
              <w:left w:w="40.0" w:type="dxa"/>
              <w:bottom w:w="40.0" w:type="dxa"/>
              <w:right w:w="40.0" w:type="dxa"/>
            </w:tcMar>
            <w:vAlign w:val="center"/>
          </w:tcPr>
          <w:p w:rsidR="00000000" w:rsidDel="00000000" w:rsidP="00000000" w:rsidRDefault="00000000" w:rsidRPr="00000000" w14:paraId="00000179">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40.0" w:type="dxa"/>
              <w:left w:w="40.0" w:type="dxa"/>
              <w:bottom w:w="40.0" w:type="dxa"/>
              <w:right w:w="40.0" w:type="dxa"/>
            </w:tcMar>
            <w:vAlign w:val="center"/>
          </w:tcPr>
          <w:p w:rsidR="00000000" w:rsidDel="00000000" w:rsidP="00000000" w:rsidRDefault="00000000" w:rsidRPr="00000000" w14:paraId="0000017A">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40.0" w:type="dxa"/>
              <w:left w:w="40.0" w:type="dxa"/>
              <w:bottom w:w="40.0" w:type="dxa"/>
              <w:right w:w="40.0" w:type="dxa"/>
            </w:tcMar>
            <w:vAlign w:val="center"/>
          </w:tcPr>
          <w:p w:rsidR="00000000" w:rsidDel="00000000" w:rsidP="00000000" w:rsidRDefault="00000000" w:rsidRPr="00000000" w14:paraId="0000017B">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7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40.0" w:type="dxa"/>
              <w:left w:w="40.0" w:type="dxa"/>
              <w:bottom w:w="40.0" w:type="dxa"/>
              <w:right w:w="40.0" w:type="dxa"/>
            </w:tcMar>
            <w:vAlign w:val="center"/>
          </w:tcPr>
          <w:p w:rsidR="00000000" w:rsidDel="00000000" w:rsidP="00000000" w:rsidRDefault="00000000" w:rsidRPr="00000000" w14:paraId="0000017D">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40.0" w:type="dxa"/>
              <w:left w:w="40.0" w:type="dxa"/>
              <w:bottom w:w="40.0" w:type="dxa"/>
              <w:right w:w="40.0" w:type="dxa"/>
            </w:tcMar>
            <w:vAlign w:val="center"/>
          </w:tcPr>
          <w:p w:rsidR="00000000" w:rsidDel="00000000" w:rsidP="00000000" w:rsidRDefault="00000000" w:rsidRPr="00000000" w14:paraId="0000017E">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c>
          <w:tcPr>
            <w:tcMar>
              <w:top w:w="40.0" w:type="dxa"/>
              <w:left w:w="40.0" w:type="dxa"/>
              <w:bottom w:w="40.0" w:type="dxa"/>
              <w:right w:w="40.0" w:type="dxa"/>
            </w:tcMar>
            <w:vAlign w:val="center"/>
          </w:tcPr>
          <w:p w:rsidR="00000000" w:rsidDel="00000000" w:rsidP="00000000" w:rsidRDefault="00000000" w:rsidRPr="00000000" w14:paraId="0000017F">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tcMar>
              <w:top w:w="40.0" w:type="dxa"/>
              <w:left w:w="40.0" w:type="dxa"/>
              <w:bottom w:w="40.0" w:type="dxa"/>
              <w:right w:w="40.0" w:type="dxa"/>
            </w:tcMar>
            <w:vAlign w:val="center"/>
          </w:tcPr>
          <w:p w:rsidR="00000000" w:rsidDel="00000000" w:rsidP="00000000" w:rsidRDefault="00000000" w:rsidRPr="00000000" w14:paraId="00000180">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81">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40.0" w:type="dxa"/>
              <w:left w:w="40.0" w:type="dxa"/>
              <w:bottom w:w="40.0" w:type="dxa"/>
              <w:right w:w="40.0" w:type="dxa"/>
            </w:tcMar>
            <w:vAlign w:val="center"/>
          </w:tcPr>
          <w:p w:rsidR="00000000" w:rsidDel="00000000" w:rsidP="00000000" w:rsidRDefault="00000000" w:rsidRPr="00000000" w14:paraId="00000182">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40.0" w:type="dxa"/>
              <w:left w:w="40.0" w:type="dxa"/>
              <w:bottom w:w="40.0" w:type="dxa"/>
              <w:right w:w="40.0" w:type="dxa"/>
            </w:tcMar>
            <w:vAlign w:val="center"/>
          </w:tcPr>
          <w:p w:rsidR="00000000" w:rsidDel="00000000" w:rsidP="00000000" w:rsidRDefault="00000000" w:rsidRPr="00000000" w14:paraId="00000183">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w:t>
            </w:r>
          </w:p>
        </w:tc>
        <w:tc>
          <w:tcPr>
            <w:tcMar>
              <w:top w:w="40.0" w:type="dxa"/>
              <w:left w:w="40.0" w:type="dxa"/>
              <w:bottom w:w="40.0" w:type="dxa"/>
              <w:right w:w="40.0" w:type="dxa"/>
            </w:tcMar>
            <w:vAlign w:val="center"/>
          </w:tcPr>
          <w:p w:rsidR="00000000" w:rsidDel="00000000" w:rsidP="00000000" w:rsidRDefault="00000000" w:rsidRPr="00000000" w14:paraId="00000184">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40.0" w:type="dxa"/>
              <w:left w:w="40.0" w:type="dxa"/>
              <w:bottom w:w="40.0" w:type="dxa"/>
              <w:right w:w="40.0" w:type="dxa"/>
            </w:tcMar>
            <w:vAlign w:val="center"/>
          </w:tcPr>
          <w:p w:rsidR="00000000" w:rsidDel="00000000" w:rsidP="00000000" w:rsidRDefault="00000000" w:rsidRPr="00000000" w14:paraId="00000185">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40.0" w:type="dxa"/>
              <w:left w:w="40.0" w:type="dxa"/>
              <w:bottom w:w="40.0" w:type="dxa"/>
              <w:right w:w="40.0" w:type="dxa"/>
            </w:tcMar>
            <w:vAlign w:val="center"/>
          </w:tcPr>
          <w:p w:rsidR="00000000" w:rsidDel="00000000" w:rsidP="00000000" w:rsidRDefault="00000000" w:rsidRPr="00000000" w14:paraId="00000186">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87">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Mar>
              <w:top w:w="40.0" w:type="dxa"/>
              <w:left w:w="40.0" w:type="dxa"/>
              <w:bottom w:w="40.0" w:type="dxa"/>
              <w:right w:w="40.0" w:type="dxa"/>
            </w:tcMar>
            <w:vAlign w:val="center"/>
          </w:tcPr>
          <w:p w:rsidR="00000000" w:rsidDel="00000000" w:rsidP="00000000" w:rsidRDefault="00000000" w:rsidRPr="00000000" w14:paraId="00000188">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40.0" w:type="dxa"/>
              <w:left w:w="40.0" w:type="dxa"/>
              <w:bottom w:w="40.0" w:type="dxa"/>
              <w:right w:w="40.0" w:type="dxa"/>
            </w:tcMar>
            <w:vAlign w:val="center"/>
          </w:tcPr>
          <w:p w:rsidR="00000000" w:rsidDel="00000000" w:rsidP="00000000" w:rsidRDefault="00000000" w:rsidRPr="00000000" w14:paraId="00000189">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40.0" w:type="dxa"/>
              <w:left w:w="40.0" w:type="dxa"/>
              <w:bottom w:w="40.0" w:type="dxa"/>
              <w:right w:w="40.0" w:type="dxa"/>
            </w:tcMar>
            <w:vAlign w:val="center"/>
          </w:tcPr>
          <w:p w:rsidR="00000000" w:rsidDel="00000000" w:rsidP="00000000" w:rsidRDefault="00000000" w:rsidRPr="00000000" w14:paraId="0000018A">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8B">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40.0" w:type="dxa"/>
              <w:left w:w="40.0" w:type="dxa"/>
              <w:bottom w:w="40.0" w:type="dxa"/>
              <w:right w:w="40.0" w:type="dxa"/>
            </w:tcMar>
            <w:vAlign w:val="center"/>
          </w:tcPr>
          <w:p w:rsidR="00000000" w:rsidDel="00000000" w:rsidP="00000000" w:rsidRDefault="00000000" w:rsidRPr="00000000" w14:paraId="0000018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40.0" w:type="dxa"/>
              <w:left w:w="40.0" w:type="dxa"/>
              <w:bottom w:w="40.0" w:type="dxa"/>
              <w:right w:w="40.0" w:type="dxa"/>
            </w:tcMar>
            <w:vAlign w:val="center"/>
          </w:tcPr>
          <w:p w:rsidR="00000000" w:rsidDel="00000000" w:rsidP="00000000" w:rsidRDefault="00000000" w:rsidRPr="00000000" w14:paraId="0000018D">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c>
          <w:tcPr>
            <w:tcMar>
              <w:top w:w="40.0" w:type="dxa"/>
              <w:left w:w="40.0" w:type="dxa"/>
              <w:bottom w:w="40.0" w:type="dxa"/>
              <w:right w:w="40.0" w:type="dxa"/>
            </w:tcMar>
            <w:vAlign w:val="center"/>
          </w:tcPr>
          <w:p w:rsidR="00000000" w:rsidDel="00000000" w:rsidP="00000000" w:rsidRDefault="00000000" w:rsidRPr="00000000" w14:paraId="0000018E">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40.0" w:type="dxa"/>
              <w:left w:w="40.0" w:type="dxa"/>
              <w:bottom w:w="40.0" w:type="dxa"/>
              <w:right w:w="40.0" w:type="dxa"/>
            </w:tcMar>
            <w:vAlign w:val="center"/>
          </w:tcPr>
          <w:p w:rsidR="00000000" w:rsidDel="00000000" w:rsidP="00000000" w:rsidRDefault="00000000" w:rsidRPr="00000000" w14:paraId="0000018F">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40.0" w:type="dxa"/>
              <w:left w:w="40.0" w:type="dxa"/>
              <w:bottom w:w="40.0" w:type="dxa"/>
              <w:right w:w="40.0" w:type="dxa"/>
            </w:tcMar>
            <w:vAlign w:val="center"/>
          </w:tcPr>
          <w:p w:rsidR="00000000" w:rsidDel="00000000" w:rsidP="00000000" w:rsidRDefault="00000000" w:rsidRPr="00000000" w14:paraId="00000190">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Mar>
              <w:top w:w="40.0" w:type="dxa"/>
              <w:left w:w="40.0" w:type="dxa"/>
              <w:bottom w:w="40.0" w:type="dxa"/>
              <w:right w:w="40.0" w:type="dxa"/>
            </w:tcMar>
            <w:vAlign w:val="center"/>
          </w:tcPr>
          <w:p w:rsidR="00000000" w:rsidDel="00000000" w:rsidP="00000000" w:rsidRDefault="00000000" w:rsidRPr="00000000" w14:paraId="00000191">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92">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Mar>
              <w:top w:w="40.0" w:type="dxa"/>
              <w:left w:w="40.0" w:type="dxa"/>
              <w:bottom w:w="40.0" w:type="dxa"/>
              <w:right w:w="40.0" w:type="dxa"/>
            </w:tcMar>
            <w:vAlign w:val="center"/>
          </w:tcPr>
          <w:p w:rsidR="00000000" w:rsidDel="00000000" w:rsidP="00000000" w:rsidRDefault="00000000" w:rsidRPr="00000000" w14:paraId="00000193">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194">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95">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40.0" w:type="dxa"/>
              <w:left w:w="40.0" w:type="dxa"/>
              <w:bottom w:w="40.0" w:type="dxa"/>
              <w:right w:w="40.0" w:type="dxa"/>
            </w:tcMar>
            <w:vAlign w:val="center"/>
          </w:tcPr>
          <w:p w:rsidR="00000000" w:rsidDel="00000000" w:rsidP="00000000" w:rsidRDefault="00000000" w:rsidRPr="00000000" w14:paraId="00000196">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40.0" w:type="dxa"/>
              <w:left w:w="40.0" w:type="dxa"/>
              <w:bottom w:w="40.0" w:type="dxa"/>
              <w:right w:w="40.0" w:type="dxa"/>
            </w:tcMar>
            <w:vAlign w:val="center"/>
          </w:tcPr>
          <w:p w:rsidR="00000000" w:rsidDel="00000000" w:rsidP="00000000" w:rsidRDefault="00000000" w:rsidRPr="00000000" w14:paraId="00000197">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c>
          <w:tcPr>
            <w:tcMar>
              <w:top w:w="40.0" w:type="dxa"/>
              <w:left w:w="40.0" w:type="dxa"/>
              <w:bottom w:w="40.0" w:type="dxa"/>
              <w:right w:w="40.0" w:type="dxa"/>
            </w:tcMar>
            <w:vAlign w:val="center"/>
          </w:tcPr>
          <w:p w:rsidR="00000000" w:rsidDel="00000000" w:rsidP="00000000" w:rsidRDefault="00000000" w:rsidRPr="00000000" w14:paraId="00000198">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40.0" w:type="dxa"/>
              <w:left w:w="40.0" w:type="dxa"/>
              <w:bottom w:w="40.0" w:type="dxa"/>
              <w:right w:w="40.0" w:type="dxa"/>
            </w:tcMar>
            <w:vAlign w:val="center"/>
          </w:tcPr>
          <w:p w:rsidR="00000000" w:rsidDel="00000000" w:rsidP="00000000" w:rsidRDefault="00000000" w:rsidRPr="00000000" w14:paraId="00000199">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c>
          <w:tcPr>
            <w:tcMar>
              <w:top w:w="40.0" w:type="dxa"/>
              <w:left w:w="40.0" w:type="dxa"/>
              <w:bottom w:w="40.0" w:type="dxa"/>
              <w:right w:w="40.0" w:type="dxa"/>
            </w:tcMar>
            <w:vAlign w:val="center"/>
          </w:tcPr>
          <w:p w:rsidR="00000000" w:rsidDel="00000000" w:rsidP="00000000" w:rsidRDefault="00000000" w:rsidRPr="00000000" w14:paraId="0000019A">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40.0" w:type="dxa"/>
              <w:left w:w="40.0" w:type="dxa"/>
              <w:bottom w:w="40.0" w:type="dxa"/>
              <w:right w:w="40.0" w:type="dxa"/>
            </w:tcMar>
            <w:vAlign w:val="center"/>
          </w:tcPr>
          <w:p w:rsidR="00000000" w:rsidDel="00000000" w:rsidP="00000000" w:rsidRDefault="00000000" w:rsidRPr="00000000" w14:paraId="0000019B">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19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9D">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9E">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w:t>
            </w:r>
          </w:p>
        </w:tc>
      </w:tr>
      <w:tr>
        <w:trPr>
          <w:cantSplit w:val="0"/>
          <w:trHeight w:val="644" w:hRule="atLeast"/>
          <w:tblHeader w:val="0"/>
        </w:trPr>
        <w:tc>
          <w:tcPr>
            <w:tcBorders>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9F">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0">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1">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2">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3">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4">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5">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6">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7">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A8">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r>
    </w:tbl>
    <w:p w:rsidR="00000000" w:rsidDel="00000000" w:rsidP="00000000" w:rsidRDefault="00000000" w:rsidRPr="00000000" w14:paraId="000001A9">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next stage, the normalized initial direct-relation matrix was calculated, presented in the following Table 6.</w:t>
      </w:r>
    </w:p>
    <w:p w:rsidR="00000000" w:rsidDel="00000000" w:rsidP="00000000" w:rsidRDefault="00000000" w:rsidRPr="00000000" w14:paraId="000001AC">
      <w:pPr>
        <w:spacing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6: Normalized direct-relation matrix</w:t>
      </w:r>
    </w:p>
    <w:p w:rsidR="00000000" w:rsidDel="00000000" w:rsidP="00000000" w:rsidRDefault="00000000" w:rsidRPr="00000000" w14:paraId="000001AE">
      <w:pPr>
        <w:spacing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7"/>
        <w:tblW w:w="7334.0" w:type="dxa"/>
        <w:jc w:val="left"/>
        <w:tblInd w:w="838.0" w:type="dxa"/>
        <w:tblLayout w:type="fixed"/>
        <w:tblLook w:val="0400"/>
      </w:tblPr>
      <w:tblGrid>
        <w:gridCol w:w="454"/>
        <w:gridCol w:w="860"/>
        <w:gridCol w:w="860"/>
        <w:gridCol w:w="860"/>
        <w:gridCol w:w="860"/>
        <w:gridCol w:w="860"/>
        <w:gridCol w:w="860"/>
        <w:gridCol w:w="860"/>
        <w:gridCol w:w="860"/>
        <w:tblGridChange w:id="0">
          <w:tblGrid>
            <w:gridCol w:w="454"/>
            <w:gridCol w:w="860"/>
            <w:gridCol w:w="860"/>
            <w:gridCol w:w="860"/>
            <w:gridCol w:w="860"/>
            <w:gridCol w:w="860"/>
            <w:gridCol w:w="860"/>
            <w:gridCol w:w="860"/>
            <w:gridCol w:w="860"/>
          </w:tblGrid>
        </w:tblGridChange>
      </w:tblGrid>
      <w:tr>
        <w:trPr>
          <w:cantSplit w:val="0"/>
          <w:trHeight w:val="844" w:hRule="atLeast"/>
          <w:tblHeader w:val="1"/>
        </w:trPr>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AF">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1">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3">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5">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6">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r>
      <w:tr>
        <w:trPr>
          <w:cantSplit w:val="0"/>
          <w:tblHeader w:val="0"/>
        </w:trPr>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B8">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0.19231</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0.11538</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B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0.13077</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1C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0.09231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C1">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40.0" w:type="dxa"/>
              <w:left w:w="40.0" w:type="dxa"/>
              <w:bottom w:w="40.0" w:type="dxa"/>
              <w:right w:w="40.0" w:type="dxa"/>
            </w:tcMar>
            <w:vAlign w:val="center"/>
          </w:tcPr>
          <w:p w:rsidR="00000000" w:rsidDel="00000000" w:rsidP="00000000" w:rsidRDefault="00000000" w:rsidRPr="00000000" w14:paraId="000001C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0.07692</w:t>
            </w:r>
          </w:p>
        </w:tc>
        <w:tc>
          <w:tcPr>
            <w:tcMar>
              <w:top w:w="40.0" w:type="dxa"/>
              <w:left w:w="40.0" w:type="dxa"/>
              <w:bottom w:w="40.0" w:type="dxa"/>
              <w:right w:w="40.0" w:type="dxa"/>
            </w:tcMar>
            <w:vAlign w:val="center"/>
          </w:tcPr>
          <w:p w:rsidR="00000000" w:rsidDel="00000000" w:rsidP="00000000" w:rsidRDefault="00000000" w:rsidRPr="00000000" w14:paraId="000001C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C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0.08462</w:t>
            </w:r>
          </w:p>
        </w:tc>
        <w:tc>
          <w:tcPr>
            <w:tcMar>
              <w:top w:w="40.0" w:type="dxa"/>
              <w:left w:w="40.0" w:type="dxa"/>
              <w:bottom w:w="40.0" w:type="dxa"/>
              <w:right w:w="40.0" w:type="dxa"/>
            </w:tcMar>
            <w:vAlign w:val="center"/>
          </w:tcPr>
          <w:p w:rsidR="00000000" w:rsidDel="00000000" w:rsidP="00000000" w:rsidRDefault="00000000" w:rsidRPr="00000000" w14:paraId="000001C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0.11538</w:t>
            </w:r>
          </w:p>
        </w:tc>
        <w:tc>
          <w:tcPr>
            <w:tcMar>
              <w:top w:w="40.0" w:type="dxa"/>
              <w:left w:w="40.0" w:type="dxa"/>
              <w:bottom w:w="40.0" w:type="dxa"/>
              <w:right w:w="40.0" w:type="dxa"/>
            </w:tcMar>
            <w:vAlign w:val="center"/>
          </w:tcPr>
          <w:p w:rsidR="00000000" w:rsidDel="00000000" w:rsidP="00000000" w:rsidRDefault="00000000" w:rsidRPr="00000000" w14:paraId="000001C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0.04615</w:t>
            </w:r>
          </w:p>
        </w:tc>
        <w:tc>
          <w:tcPr>
            <w:tcMar>
              <w:top w:w="40.0" w:type="dxa"/>
              <w:left w:w="40.0" w:type="dxa"/>
              <w:bottom w:w="40.0" w:type="dxa"/>
              <w:right w:w="40.0" w:type="dxa"/>
            </w:tcMar>
            <w:vAlign w:val="center"/>
          </w:tcPr>
          <w:p w:rsidR="00000000" w:rsidDel="00000000" w:rsidP="00000000" w:rsidRDefault="00000000" w:rsidRPr="00000000" w14:paraId="000001C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0.07692</w:t>
            </w:r>
          </w:p>
        </w:tc>
        <w:tc>
          <w:tcPr>
            <w:tcMar>
              <w:top w:w="40.0" w:type="dxa"/>
              <w:left w:w="40.0" w:type="dxa"/>
              <w:bottom w:w="40.0" w:type="dxa"/>
              <w:right w:w="40.0" w:type="dxa"/>
            </w:tcMar>
            <w:vAlign w:val="center"/>
          </w:tcPr>
          <w:p w:rsidR="00000000" w:rsidDel="00000000" w:rsidP="00000000" w:rsidRDefault="00000000" w:rsidRPr="00000000" w14:paraId="000001C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C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0.18462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C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40.0" w:type="dxa"/>
              <w:left w:w="40.0" w:type="dxa"/>
              <w:bottom w:w="40.0" w:type="dxa"/>
              <w:right w:w="40.0" w:type="dxa"/>
            </w:tcMar>
            <w:vAlign w:val="center"/>
          </w:tcPr>
          <w:p w:rsidR="00000000" w:rsidDel="00000000" w:rsidP="00000000" w:rsidRDefault="00000000" w:rsidRPr="00000000" w14:paraId="000001C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0.20769</w:t>
            </w:r>
          </w:p>
        </w:tc>
        <w:tc>
          <w:tcPr>
            <w:tcMar>
              <w:top w:w="40.0" w:type="dxa"/>
              <w:left w:w="40.0" w:type="dxa"/>
              <w:bottom w:w="40.0" w:type="dxa"/>
              <w:right w:w="40.0" w:type="dxa"/>
            </w:tcMar>
            <w:vAlign w:val="center"/>
          </w:tcPr>
          <w:p w:rsidR="00000000" w:rsidDel="00000000" w:rsidP="00000000" w:rsidRDefault="00000000" w:rsidRPr="00000000" w14:paraId="000001C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0.08462</w:t>
            </w:r>
          </w:p>
        </w:tc>
        <w:tc>
          <w:tcPr>
            <w:tcMar>
              <w:top w:w="40.0" w:type="dxa"/>
              <w:left w:w="40.0" w:type="dxa"/>
              <w:bottom w:w="40.0" w:type="dxa"/>
              <w:right w:w="40.0" w:type="dxa"/>
            </w:tcMar>
            <w:vAlign w:val="center"/>
          </w:tcPr>
          <w:p w:rsidR="00000000" w:rsidDel="00000000" w:rsidP="00000000" w:rsidRDefault="00000000" w:rsidRPr="00000000" w14:paraId="000001C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C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0.13846</w:t>
            </w:r>
          </w:p>
        </w:tc>
        <w:tc>
          <w:tcPr>
            <w:tcMar>
              <w:top w:w="40.0" w:type="dxa"/>
              <w:left w:w="40.0" w:type="dxa"/>
              <w:bottom w:w="40.0" w:type="dxa"/>
              <w:right w:w="40.0" w:type="dxa"/>
            </w:tcMar>
            <w:vAlign w:val="center"/>
          </w:tcPr>
          <w:p w:rsidR="00000000" w:rsidDel="00000000" w:rsidP="00000000" w:rsidRDefault="00000000" w:rsidRPr="00000000" w14:paraId="000001C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0.13077</w:t>
            </w:r>
          </w:p>
        </w:tc>
        <w:tc>
          <w:tcPr>
            <w:tcMar>
              <w:top w:w="40.0" w:type="dxa"/>
              <w:left w:w="40.0" w:type="dxa"/>
              <w:bottom w:w="40.0" w:type="dxa"/>
              <w:right w:w="40.0" w:type="dxa"/>
            </w:tcMar>
            <w:vAlign w:val="center"/>
          </w:tcPr>
          <w:p w:rsidR="00000000" w:rsidDel="00000000" w:rsidP="00000000" w:rsidRDefault="00000000" w:rsidRPr="00000000" w14:paraId="000001D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0.10769</w:t>
            </w:r>
          </w:p>
        </w:tc>
        <w:tc>
          <w:tcPr>
            <w:tcMar>
              <w:top w:w="40.0" w:type="dxa"/>
              <w:left w:w="40.0" w:type="dxa"/>
              <w:bottom w:w="40.0" w:type="dxa"/>
              <w:right w:w="40.0" w:type="dxa"/>
            </w:tcMar>
            <w:vAlign w:val="center"/>
          </w:tcPr>
          <w:p w:rsidR="00000000" w:rsidDel="00000000" w:rsidP="00000000" w:rsidRDefault="00000000" w:rsidRPr="00000000" w14:paraId="000001D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0.19231</w:t>
            </w:r>
          </w:p>
        </w:tc>
        <w:tc>
          <w:tcPr>
            <w:tcMar>
              <w:top w:w="40.0" w:type="dxa"/>
              <w:left w:w="40.0" w:type="dxa"/>
              <w:bottom w:w="40.0" w:type="dxa"/>
              <w:right w:w="40.0" w:type="dxa"/>
            </w:tcMar>
            <w:vAlign w:val="center"/>
          </w:tcPr>
          <w:p w:rsidR="00000000" w:rsidDel="00000000" w:rsidP="00000000" w:rsidRDefault="00000000" w:rsidRPr="00000000" w14:paraId="000001D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D3">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40.0" w:type="dxa"/>
              <w:left w:w="40.0" w:type="dxa"/>
              <w:bottom w:w="40.0" w:type="dxa"/>
              <w:right w:w="40.0" w:type="dxa"/>
            </w:tcMar>
            <w:vAlign w:val="center"/>
          </w:tcPr>
          <w:p w:rsidR="00000000" w:rsidDel="00000000" w:rsidP="00000000" w:rsidRDefault="00000000" w:rsidRPr="00000000" w14:paraId="000001D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0.09231</w:t>
            </w:r>
          </w:p>
        </w:tc>
        <w:tc>
          <w:tcPr>
            <w:tcMar>
              <w:top w:w="40.0" w:type="dxa"/>
              <w:left w:w="40.0" w:type="dxa"/>
              <w:bottom w:w="40.0" w:type="dxa"/>
              <w:right w:w="40.0" w:type="dxa"/>
            </w:tcMar>
            <w:vAlign w:val="center"/>
          </w:tcPr>
          <w:p w:rsidR="00000000" w:rsidDel="00000000" w:rsidP="00000000" w:rsidRDefault="00000000" w:rsidRPr="00000000" w14:paraId="000001D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0.10000</w:t>
            </w:r>
          </w:p>
        </w:tc>
        <w:tc>
          <w:tcPr>
            <w:tcMar>
              <w:top w:w="40.0" w:type="dxa"/>
              <w:left w:w="40.0" w:type="dxa"/>
              <w:bottom w:w="40.0" w:type="dxa"/>
              <w:right w:w="40.0" w:type="dxa"/>
            </w:tcMar>
            <w:vAlign w:val="center"/>
          </w:tcPr>
          <w:p w:rsidR="00000000" w:rsidDel="00000000" w:rsidP="00000000" w:rsidRDefault="00000000" w:rsidRPr="00000000" w14:paraId="000001D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Mar>
              <w:top w:w="40.0" w:type="dxa"/>
              <w:left w:w="40.0" w:type="dxa"/>
              <w:bottom w:w="40.0" w:type="dxa"/>
              <w:right w:w="40.0" w:type="dxa"/>
            </w:tcMar>
            <w:vAlign w:val="center"/>
          </w:tcPr>
          <w:p w:rsidR="00000000" w:rsidDel="00000000" w:rsidP="00000000" w:rsidRDefault="00000000" w:rsidRPr="00000000" w14:paraId="000001D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D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0.11538</w:t>
            </w:r>
          </w:p>
        </w:tc>
        <w:tc>
          <w:tcPr>
            <w:tcMar>
              <w:top w:w="40.0" w:type="dxa"/>
              <w:left w:w="40.0" w:type="dxa"/>
              <w:bottom w:w="40.0" w:type="dxa"/>
              <w:right w:w="40.0" w:type="dxa"/>
            </w:tcMar>
            <w:vAlign w:val="center"/>
          </w:tcPr>
          <w:p w:rsidR="00000000" w:rsidDel="00000000" w:rsidP="00000000" w:rsidRDefault="00000000" w:rsidRPr="00000000" w14:paraId="000001D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0.09231</w:t>
            </w:r>
          </w:p>
        </w:tc>
        <w:tc>
          <w:tcPr>
            <w:tcMar>
              <w:top w:w="40.0" w:type="dxa"/>
              <w:left w:w="40.0" w:type="dxa"/>
              <w:bottom w:w="40.0" w:type="dxa"/>
              <w:right w:w="40.0" w:type="dxa"/>
            </w:tcMar>
            <w:vAlign w:val="center"/>
          </w:tcPr>
          <w:p w:rsidR="00000000" w:rsidDel="00000000" w:rsidP="00000000" w:rsidRDefault="00000000" w:rsidRPr="00000000" w14:paraId="000001D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0.02308</w:t>
            </w:r>
          </w:p>
        </w:tc>
        <w:tc>
          <w:tcPr>
            <w:tcMar>
              <w:top w:w="40.0" w:type="dxa"/>
              <w:left w:w="40.0" w:type="dxa"/>
              <w:bottom w:w="40.0" w:type="dxa"/>
              <w:right w:w="40.0" w:type="dxa"/>
            </w:tcMar>
            <w:vAlign w:val="center"/>
          </w:tcPr>
          <w:p w:rsidR="00000000" w:rsidDel="00000000" w:rsidP="00000000" w:rsidRDefault="00000000" w:rsidRPr="00000000" w14:paraId="000001D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0.21538</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D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40.0" w:type="dxa"/>
              <w:left w:w="40.0" w:type="dxa"/>
              <w:bottom w:w="40.0" w:type="dxa"/>
              <w:right w:w="40.0" w:type="dxa"/>
            </w:tcMar>
            <w:vAlign w:val="center"/>
          </w:tcPr>
          <w:p w:rsidR="00000000" w:rsidDel="00000000" w:rsidP="00000000" w:rsidRDefault="00000000" w:rsidRPr="00000000" w14:paraId="000001D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0.15385</w:t>
            </w:r>
          </w:p>
        </w:tc>
        <w:tc>
          <w:tcPr>
            <w:tcMar>
              <w:top w:w="40.0" w:type="dxa"/>
              <w:left w:w="40.0" w:type="dxa"/>
              <w:bottom w:w="40.0" w:type="dxa"/>
              <w:right w:w="40.0" w:type="dxa"/>
            </w:tcMar>
            <w:vAlign w:val="center"/>
          </w:tcPr>
          <w:p w:rsidR="00000000" w:rsidDel="00000000" w:rsidP="00000000" w:rsidRDefault="00000000" w:rsidRPr="00000000" w14:paraId="000001D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0.00769</w:t>
            </w:r>
          </w:p>
        </w:tc>
        <w:tc>
          <w:tcPr>
            <w:tcMar>
              <w:top w:w="40.0" w:type="dxa"/>
              <w:left w:w="40.0" w:type="dxa"/>
              <w:bottom w:w="40.0" w:type="dxa"/>
              <w:right w:w="40.0" w:type="dxa"/>
            </w:tcMar>
            <w:vAlign w:val="center"/>
          </w:tcPr>
          <w:p w:rsidR="00000000" w:rsidDel="00000000" w:rsidP="00000000" w:rsidRDefault="00000000" w:rsidRPr="00000000" w14:paraId="000001D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Mar>
              <w:top w:w="40.0" w:type="dxa"/>
              <w:left w:w="40.0" w:type="dxa"/>
              <w:bottom w:w="40.0" w:type="dxa"/>
              <w:right w:w="40.0" w:type="dxa"/>
            </w:tcMar>
            <w:vAlign w:val="center"/>
          </w:tcPr>
          <w:p w:rsidR="00000000" w:rsidDel="00000000" w:rsidP="00000000" w:rsidRDefault="00000000" w:rsidRPr="00000000" w14:paraId="000001E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0.09231</w:t>
            </w:r>
          </w:p>
        </w:tc>
        <w:tc>
          <w:tcPr>
            <w:tcMar>
              <w:top w:w="40.0" w:type="dxa"/>
              <w:left w:w="40.0" w:type="dxa"/>
              <w:bottom w:w="40.0" w:type="dxa"/>
              <w:right w:w="40.0" w:type="dxa"/>
            </w:tcMar>
            <w:vAlign w:val="center"/>
          </w:tcPr>
          <w:p w:rsidR="00000000" w:rsidDel="00000000" w:rsidP="00000000" w:rsidRDefault="00000000" w:rsidRPr="00000000" w14:paraId="000001E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E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0.19231</w:t>
            </w:r>
          </w:p>
        </w:tc>
        <w:tc>
          <w:tcPr>
            <w:tcMar>
              <w:top w:w="40.0" w:type="dxa"/>
              <w:left w:w="40.0" w:type="dxa"/>
              <w:bottom w:w="40.0" w:type="dxa"/>
              <w:right w:w="40.0" w:type="dxa"/>
            </w:tcMar>
            <w:vAlign w:val="center"/>
          </w:tcPr>
          <w:p w:rsidR="00000000" w:rsidDel="00000000" w:rsidP="00000000" w:rsidRDefault="00000000" w:rsidRPr="00000000" w14:paraId="000001E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Mar>
              <w:top w:w="40.0" w:type="dxa"/>
              <w:left w:w="40.0" w:type="dxa"/>
              <w:bottom w:w="40.0" w:type="dxa"/>
              <w:right w:w="40.0" w:type="dxa"/>
            </w:tcMar>
            <w:vAlign w:val="center"/>
          </w:tcPr>
          <w:p w:rsidR="00000000" w:rsidDel="00000000" w:rsidP="00000000" w:rsidRDefault="00000000" w:rsidRPr="00000000" w14:paraId="000001E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0.08462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E5">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40.0" w:type="dxa"/>
              <w:left w:w="40.0" w:type="dxa"/>
              <w:bottom w:w="40.0" w:type="dxa"/>
              <w:right w:w="40.0" w:type="dxa"/>
            </w:tcMar>
            <w:vAlign w:val="center"/>
          </w:tcPr>
          <w:p w:rsidR="00000000" w:rsidDel="00000000" w:rsidP="00000000" w:rsidRDefault="00000000" w:rsidRPr="00000000" w14:paraId="000001E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Mar>
              <w:top w:w="40.0" w:type="dxa"/>
              <w:left w:w="40.0" w:type="dxa"/>
              <w:bottom w:w="40.0" w:type="dxa"/>
              <w:right w:w="40.0" w:type="dxa"/>
            </w:tcMar>
            <w:vAlign w:val="center"/>
          </w:tcPr>
          <w:p w:rsidR="00000000" w:rsidDel="00000000" w:rsidP="00000000" w:rsidRDefault="00000000" w:rsidRPr="00000000" w14:paraId="000001E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0.04615</w:t>
            </w:r>
          </w:p>
        </w:tc>
        <w:tc>
          <w:tcPr>
            <w:tcMar>
              <w:top w:w="40.0" w:type="dxa"/>
              <w:left w:w="40.0" w:type="dxa"/>
              <w:bottom w:w="40.0" w:type="dxa"/>
              <w:right w:w="40.0" w:type="dxa"/>
            </w:tcMar>
            <w:vAlign w:val="center"/>
          </w:tcPr>
          <w:p w:rsidR="00000000" w:rsidDel="00000000" w:rsidP="00000000" w:rsidRDefault="00000000" w:rsidRPr="00000000" w14:paraId="000001E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0.11538</w:t>
            </w:r>
          </w:p>
        </w:tc>
        <w:tc>
          <w:tcPr>
            <w:tcMar>
              <w:top w:w="40.0" w:type="dxa"/>
              <w:left w:w="40.0" w:type="dxa"/>
              <w:bottom w:w="40.0" w:type="dxa"/>
              <w:right w:w="40.0" w:type="dxa"/>
            </w:tcMar>
            <w:vAlign w:val="center"/>
          </w:tcPr>
          <w:p w:rsidR="00000000" w:rsidDel="00000000" w:rsidP="00000000" w:rsidRDefault="00000000" w:rsidRPr="00000000" w14:paraId="000001E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0.08462</w:t>
            </w:r>
          </w:p>
        </w:tc>
        <w:tc>
          <w:tcPr>
            <w:tcMar>
              <w:top w:w="40.0" w:type="dxa"/>
              <w:left w:w="40.0" w:type="dxa"/>
              <w:bottom w:w="40.0" w:type="dxa"/>
              <w:right w:w="40.0" w:type="dxa"/>
            </w:tcMar>
            <w:vAlign w:val="center"/>
          </w:tcPr>
          <w:p w:rsidR="00000000" w:rsidDel="00000000" w:rsidP="00000000" w:rsidRDefault="00000000" w:rsidRPr="00000000" w14:paraId="000001E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0.14615</w:t>
            </w:r>
          </w:p>
        </w:tc>
        <w:tc>
          <w:tcPr>
            <w:tcMar>
              <w:top w:w="40.0" w:type="dxa"/>
              <w:left w:w="40.0" w:type="dxa"/>
              <w:bottom w:w="40.0" w:type="dxa"/>
              <w:right w:w="40.0" w:type="dxa"/>
            </w:tcMar>
            <w:vAlign w:val="center"/>
          </w:tcPr>
          <w:p w:rsidR="00000000" w:rsidDel="00000000" w:rsidP="00000000" w:rsidRDefault="00000000" w:rsidRPr="00000000" w14:paraId="000001E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E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0.13846</w:t>
            </w:r>
          </w:p>
        </w:tc>
        <w:tc>
          <w:tcPr>
            <w:tcMar>
              <w:top w:w="40.0" w:type="dxa"/>
              <w:left w:w="40.0" w:type="dxa"/>
              <w:bottom w:w="40.0" w:type="dxa"/>
              <w:right w:w="40.0" w:type="dxa"/>
            </w:tcMar>
            <w:vAlign w:val="center"/>
          </w:tcPr>
          <w:p w:rsidR="00000000" w:rsidDel="00000000" w:rsidP="00000000" w:rsidRDefault="00000000" w:rsidRPr="00000000" w14:paraId="000001E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0.07692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E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40.0" w:type="dxa"/>
              <w:left w:w="40.0" w:type="dxa"/>
              <w:bottom w:w="40.0" w:type="dxa"/>
              <w:right w:w="40.0" w:type="dxa"/>
            </w:tcMar>
            <w:vAlign w:val="center"/>
          </w:tcPr>
          <w:p w:rsidR="00000000" w:rsidDel="00000000" w:rsidP="00000000" w:rsidRDefault="00000000" w:rsidRPr="00000000" w14:paraId="000001E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0.12308</w:t>
            </w:r>
          </w:p>
        </w:tc>
        <w:tc>
          <w:tcPr>
            <w:tcMar>
              <w:top w:w="40.0" w:type="dxa"/>
              <w:left w:w="40.0" w:type="dxa"/>
              <w:bottom w:w="40.0" w:type="dxa"/>
              <w:right w:w="40.0" w:type="dxa"/>
            </w:tcMar>
            <w:vAlign w:val="center"/>
          </w:tcPr>
          <w:p w:rsidR="00000000" w:rsidDel="00000000" w:rsidP="00000000" w:rsidRDefault="00000000" w:rsidRPr="00000000" w14:paraId="000001F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0.02308</w:t>
            </w:r>
          </w:p>
        </w:tc>
        <w:tc>
          <w:tcPr>
            <w:tcMar>
              <w:top w:w="40.0" w:type="dxa"/>
              <w:left w:w="40.0" w:type="dxa"/>
              <w:bottom w:w="40.0" w:type="dxa"/>
              <w:right w:w="40.0" w:type="dxa"/>
            </w:tcMar>
            <w:vAlign w:val="center"/>
          </w:tcPr>
          <w:p w:rsidR="00000000" w:rsidDel="00000000" w:rsidP="00000000" w:rsidRDefault="00000000" w:rsidRPr="00000000" w14:paraId="000001F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0.11538</w:t>
            </w:r>
          </w:p>
        </w:tc>
        <w:tc>
          <w:tcPr>
            <w:tcMar>
              <w:top w:w="40.0" w:type="dxa"/>
              <w:left w:w="40.0" w:type="dxa"/>
              <w:bottom w:w="40.0" w:type="dxa"/>
              <w:right w:w="40.0" w:type="dxa"/>
            </w:tcMar>
            <w:vAlign w:val="center"/>
          </w:tcPr>
          <w:p w:rsidR="00000000" w:rsidDel="00000000" w:rsidP="00000000" w:rsidRDefault="00000000" w:rsidRPr="00000000" w14:paraId="000001F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0.02308</w:t>
            </w:r>
          </w:p>
        </w:tc>
        <w:tc>
          <w:tcPr>
            <w:tcMar>
              <w:top w:w="40.0" w:type="dxa"/>
              <w:left w:w="40.0" w:type="dxa"/>
              <w:bottom w:w="40.0" w:type="dxa"/>
              <w:right w:w="40.0" w:type="dxa"/>
            </w:tcMar>
            <w:vAlign w:val="center"/>
          </w:tcPr>
          <w:p w:rsidR="00000000" w:rsidDel="00000000" w:rsidP="00000000" w:rsidRDefault="00000000" w:rsidRPr="00000000" w14:paraId="000001F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0.09231</w:t>
            </w:r>
          </w:p>
        </w:tc>
        <w:tc>
          <w:tcPr>
            <w:tcMar>
              <w:top w:w="40.0" w:type="dxa"/>
              <w:left w:w="40.0" w:type="dxa"/>
              <w:bottom w:w="40.0" w:type="dxa"/>
              <w:right w:w="40.0" w:type="dxa"/>
            </w:tcMar>
            <w:vAlign w:val="center"/>
          </w:tcPr>
          <w:p w:rsidR="00000000" w:rsidDel="00000000" w:rsidP="00000000" w:rsidRDefault="00000000" w:rsidRPr="00000000" w14:paraId="000001F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0.07692</w:t>
            </w:r>
          </w:p>
        </w:tc>
        <w:tc>
          <w:tcPr>
            <w:tcMar>
              <w:top w:w="40.0" w:type="dxa"/>
              <w:left w:w="40.0" w:type="dxa"/>
              <w:bottom w:w="40.0" w:type="dxa"/>
              <w:right w:w="40.0" w:type="dxa"/>
            </w:tcMar>
            <w:vAlign w:val="center"/>
          </w:tcPr>
          <w:p w:rsidR="00000000" w:rsidDel="00000000" w:rsidP="00000000" w:rsidRDefault="00000000" w:rsidRPr="00000000" w14:paraId="000001F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1F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rHeight w:val="708" w:hRule="atLeast"/>
          <w:tblHeader w:val="0"/>
        </w:trPr>
        <w:tc>
          <w:tcPr>
            <w:tcBorders>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1F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0.09231</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0.20000</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0.13077</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0.19231</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0.07692</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0.13077</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0.07692</w:t>
            </w:r>
          </w:p>
        </w:tc>
        <w:tc>
          <w:tcPr>
            <w:tcBorders>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1F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bl>
    <w:p w:rsidR="00000000" w:rsidDel="00000000" w:rsidP="00000000" w:rsidRDefault="00000000" w:rsidRPr="00000000" w14:paraId="00000200">
      <w:pPr>
        <w:spacing w:after="12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Idensity matrix was then constructed and presented in Table 7.</w:t>
      </w:r>
    </w:p>
    <w:p w:rsidR="00000000" w:rsidDel="00000000" w:rsidP="00000000" w:rsidRDefault="00000000" w:rsidRPr="00000000" w14:paraId="00000202">
      <w:pPr>
        <w:spacing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7: Idensity matrix</w:t>
      </w:r>
    </w:p>
    <w:p w:rsidR="00000000" w:rsidDel="00000000" w:rsidP="00000000" w:rsidRDefault="00000000" w:rsidRPr="00000000" w14:paraId="00000205">
      <w:pPr>
        <w:spacing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8"/>
        <w:tblW w:w="4085.999999999999" w:type="dxa"/>
        <w:jc w:val="left"/>
        <w:tblInd w:w="2474.0" w:type="dxa"/>
        <w:tblBorders>
          <w:bottom w:color="000000" w:space="0" w:sz="12" w:val="single"/>
        </w:tblBorders>
        <w:tblLayout w:type="fixed"/>
        <w:tblLook w:val="0400"/>
      </w:tblPr>
      <w:tblGrid>
        <w:gridCol w:w="454"/>
        <w:gridCol w:w="454"/>
        <w:gridCol w:w="454"/>
        <w:gridCol w:w="454"/>
        <w:gridCol w:w="454"/>
        <w:gridCol w:w="454"/>
        <w:gridCol w:w="454"/>
        <w:gridCol w:w="454"/>
        <w:gridCol w:w="454"/>
        <w:tblGridChange w:id="0">
          <w:tblGrid>
            <w:gridCol w:w="454"/>
            <w:gridCol w:w="454"/>
            <w:gridCol w:w="454"/>
            <w:gridCol w:w="454"/>
            <w:gridCol w:w="454"/>
            <w:gridCol w:w="454"/>
            <w:gridCol w:w="454"/>
            <w:gridCol w:w="454"/>
            <w:gridCol w:w="454"/>
          </w:tblGrid>
        </w:tblGridChange>
      </w:tblGrid>
      <w:tr>
        <w:trPr>
          <w:cantSplit w:val="1"/>
          <w:tblHeader w:val="1"/>
        </w:trPr>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6">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8">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D">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Borders>
              <w:top w:color="000000" w:space="0" w:sz="12" w:val="single"/>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r>
      <w:tr>
        <w:trPr>
          <w:cantSplit w:val="0"/>
          <w:tblHeader w:val="0"/>
        </w:trPr>
        <w:tc>
          <w:tcPr>
            <w:tcBorders>
              <w:top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20F">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1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18">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40.0" w:type="dxa"/>
              <w:left w:w="40.0" w:type="dxa"/>
              <w:bottom w:w="40.0" w:type="dxa"/>
              <w:right w:w="40.0" w:type="dxa"/>
            </w:tcMar>
            <w:vAlign w:val="center"/>
          </w:tcPr>
          <w:p w:rsidR="00000000" w:rsidDel="00000000" w:rsidP="00000000" w:rsidRDefault="00000000" w:rsidRPr="00000000" w14:paraId="0000021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1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21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1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1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1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1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21">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40.0" w:type="dxa"/>
              <w:left w:w="40.0" w:type="dxa"/>
              <w:bottom w:w="40.0" w:type="dxa"/>
              <w:right w:w="40.0" w:type="dxa"/>
            </w:tcMar>
            <w:vAlign w:val="center"/>
          </w:tcPr>
          <w:p w:rsidR="00000000" w:rsidDel="00000000" w:rsidP="00000000" w:rsidRDefault="00000000" w:rsidRPr="00000000" w14:paraId="0000022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22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2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40.0" w:type="dxa"/>
              <w:left w:w="40.0" w:type="dxa"/>
              <w:bottom w:w="40.0" w:type="dxa"/>
              <w:right w:w="40.0" w:type="dxa"/>
            </w:tcMar>
            <w:vAlign w:val="center"/>
          </w:tcPr>
          <w:p w:rsidR="00000000" w:rsidDel="00000000" w:rsidP="00000000" w:rsidRDefault="00000000" w:rsidRPr="00000000" w14:paraId="0000022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2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22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33">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40.0" w:type="dxa"/>
              <w:left w:w="40.0" w:type="dxa"/>
              <w:bottom w:w="40.0" w:type="dxa"/>
              <w:right w:w="40.0" w:type="dxa"/>
            </w:tcMar>
            <w:vAlign w:val="center"/>
          </w:tcPr>
          <w:p w:rsidR="00000000" w:rsidDel="00000000" w:rsidP="00000000" w:rsidRDefault="00000000" w:rsidRPr="00000000" w14:paraId="0000023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23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3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40.0" w:type="dxa"/>
              <w:left w:w="40.0" w:type="dxa"/>
              <w:bottom w:w="40.0" w:type="dxa"/>
              <w:right w:w="40.0" w:type="dxa"/>
            </w:tcMar>
            <w:vAlign w:val="center"/>
          </w:tcPr>
          <w:p w:rsidR="00000000" w:rsidDel="00000000" w:rsidP="00000000" w:rsidRDefault="00000000" w:rsidRPr="00000000" w14:paraId="0000023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3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24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45">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40.0" w:type="dxa"/>
              <w:left w:w="40.0" w:type="dxa"/>
              <w:bottom w:w="40.0" w:type="dxa"/>
              <w:right w:w="40.0" w:type="dxa"/>
            </w:tcMar>
            <w:vAlign w:val="center"/>
          </w:tcPr>
          <w:p w:rsidR="00000000" w:rsidDel="00000000" w:rsidP="00000000" w:rsidRDefault="00000000" w:rsidRPr="00000000" w14:paraId="0000024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4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40.0" w:type="dxa"/>
              <w:left w:w="40.0" w:type="dxa"/>
              <w:bottom w:w="40.0" w:type="dxa"/>
              <w:right w:w="40.0" w:type="dxa"/>
            </w:tcMar>
            <w:vAlign w:val="center"/>
          </w:tcPr>
          <w:p w:rsidR="00000000" w:rsidDel="00000000" w:rsidP="00000000" w:rsidRDefault="00000000" w:rsidRPr="00000000" w14:paraId="0000024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24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Mar>
              <w:top w:w="40.0" w:type="dxa"/>
              <w:left w:w="40.0" w:type="dxa"/>
              <w:bottom w:w="40.0" w:type="dxa"/>
              <w:right w:w="40.0" w:type="dxa"/>
            </w:tcMar>
            <w:vAlign w:val="center"/>
          </w:tcPr>
          <w:p w:rsidR="00000000" w:rsidDel="00000000" w:rsidP="00000000" w:rsidRDefault="00000000" w:rsidRPr="00000000" w14:paraId="0000024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tcMar>
              <w:top w:w="40.0" w:type="dxa"/>
              <w:left w:w="40.0" w:type="dxa"/>
              <w:bottom w:w="40.0" w:type="dxa"/>
              <w:right w:w="40.0" w:type="dxa"/>
            </w:tcMar>
            <w:vAlign w:val="center"/>
          </w:tcPr>
          <w:p w:rsidR="00000000" w:rsidDel="00000000" w:rsidP="00000000" w:rsidRDefault="00000000" w:rsidRPr="00000000" w14:paraId="0000025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257">
      <w:pPr>
        <w:spacing w:after="12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Idensity matrix and Normalized direct-relation matrix, the Total relation matrix, summarized in Table 8, was computed using Equation: T = D(I - D)</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9">
      <w:pPr>
        <w:spacing w:after="120"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8: Total relationship matrix</w:t>
      </w:r>
    </w:p>
    <w:p w:rsidR="00000000" w:rsidDel="00000000" w:rsidP="00000000" w:rsidRDefault="00000000" w:rsidRPr="00000000" w14:paraId="0000025B">
      <w:pPr>
        <w:spacing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9"/>
        <w:tblW w:w="7686.0" w:type="dxa"/>
        <w:jc w:val="left"/>
        <w:tblInd w:w="426.0" w:type="dxa"/>
        <w:tblBorders>
          <w:top w:color="000000" w:space="0" w:sz="12" w:val="single"/>
          <w:bottom w:color="000000" w:space="0" w:sz="12" w:val="single"/>
        </w:tblBorders>
        <w:tblLayout w:type="fixed"/>
        <w:tblLook w:val="0400"/>
      </w:tblPr>
      <w:tblGrid>
        <w:gridCol w:w="806"/>
        <w:gridCol w:w="860"/>
        <w:gridCol w:w="860"/>
        <w:gridCol w:w="860"/>
        <w:gridCol w:w="860"/>
        <w:gridCol w:w="860"/>
        <w:gridCol w:w="860"/>
        <w:gridCol w:w="860"/>
        <w:gridCol w:w="860"/>
        <w:tblGridChange w:id="0">
          <w:tblGrid>
            <w:gridCol w:w="806"/>
            <w:gridCol w:w="860"/>
            <w:gridCol w:w="860"/>
            <w:gridCol w:w="860"/>
            <w:gridCol w:w="860"/>
            <w:gridCol w:w="860"/>
            <w:gridCol w:w="860"/>
            <w:gridCol w:w="860"/>
            <w:gridCol w:w="860"/>
          </w:tblGrid>
        </w:tblGridChange>
      </w:tblGrid>
      <w:tr>
        <w:trPr>
          <w:cantSplit w:val="1"/>
          <w:trHeight w:val="77" w:hRule="atLeast"/>
          <w:tblHeader w:val="1"/>
        </w:trPr>
        <w:tc>
          <w:tcPr>
            <w:tcMar>
              <w:top w:w="40.0" w:type="dxa"/>
              <w:left w:w="40.0" w:type="dxa"/>
              <w:bottom w:w="40.0" w:type="dxa"/>
              <w:right w:w="40.0" w:type="dxa"/>
            </w:tcMar>
            <w:vAlign w:val="center"/>
          </w:tcPr>
          <w:p w:rsidR="00000000" w:rsidDel="00000000" w:rsidP="00000000" w:rsidRDefault="00000000" w:rsidRPr="00000000" w14:paraId="0000025C">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25D">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Mar>
              <w:top w:w="100.0" w:type="dxa"/>
              <w:left w:w="100.0" w:type="dxa"/>
              <w:bottom w:w="100.0" w:type="dxa"/>
              <w:right w:w="100.0" w:type="dxa"/>
            </w:tcMar>
            <w:vAlign w:val="center"/>
          </w:tcPr>
          <w:p w:rsidR="00000000" w:rsidDel="00000000" w:rsidP="00000000" w:rsidRDefault="00000000" w:rsidRPr="00000000" w14:paraId="0000025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100.0" w:type="dxa"/>
              <w:left w:w="100.0" w:type="dxa"/>
              <w:bottom w:w="100.0" w:type="dxa"/>
              <w:right w:w="100.0" w:type="dxa"/>
            </w:tcMar>
            <w:vAlign w:val="center"/>
          </w:tcPr>
          <w:p w:rsidR="00000000" w:rsidDel="00000000" w:rsidP="00000000" w:rsidRDefault="00000000" w:rsidRPr="00000000" w14:paraId="0000025F">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100.0" w:type="dxa"/>
              <w:left w:w="100.0" w:type="dxa"/>
              <w:bottom w:w="100.0" w:type="dxa"/>
              <w:right w:w="100.0" w:type="dxa"/>
            </w:tcMar>
            <w:vAlign w:val="center"/>
          </w:tcPr>
          <w:p w:rsidR="00000000" w:rsidDel="00000000" w:rsidP="00000000" w:rsidRDefault="00000000" w:rsidRPr="00000000" w14:paraId="0000026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100.0" w:type="dxa"/>
              <w:left w:w="100.0" w:type="dxa"/>
              <w:bottom w:w="100.0" w:type="dxa"/>
              <w:right w:w="100.0" w:type="dxa"/>
            </w:tcMar>
            <w:vAlign w:val="center"/>
          </w:tcPr>
          <w:p w:rsidR="00000000" w:rsidDel="00000000" w:rsidP="00000000" w:rsidRDefault="00000000" w:rsidRPr="00000000" w14:paraId="00000261">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100.0" w:type="dxa"/>
              <w:left w:w="100.0" w:type="dxa"/>
              <w:bottom w:w="100.0" w:type="dxa"/>
              <w:right w:w="100.0" w:type="dxa"/>
            </w:tcMar>
            <w:vAlign w:val="center"/>
          </w:tcPr>
          <w:p w:rsidR="00000000" w:rsidDel="00000000" w:rsidP="00000000" w:rsidRDefault="00000000" w:rsidRPr="00000000" w14:paraId="0000026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100.0" w:type="dxa"/>
              <w:left w:w="100.0" w:type="dxa"/>
              <w:bottom w:w="100.0" w:type="dxa"/>
              <w:right w:w="100.0" w:type="dxa"/>
            </w:tcMar>
            <w:vAlign w:val="center"/>
          </w:tcPr>
          <w:p w:rsidR="00000000" w:rsidDel="00000000" w:rsidP="00000000" w:rsidRDefault="00000000" w:rsidRPr="00000000" w14:paraId="00000263">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100.0" w:type="dxa"/>
              <w:left w:w="100.0" w:type="dxa"/>
              <w:bottom w:w="100.0" w:type="dxa"/>
              <w:right w:w="100.0" w:type="dxa"/>
            </w:tcMar>
            <w:vAlign w:val="center"/>
          </w:tcPr>
          <w:p w:rsidR="00000000" w:rsidDel="00000000" w:rsidP="00000000" w:rsidRDefault="00000000" w:rsidRPr="00000000" w14:paraId="0000026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65">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Mar>
              <w:top w:w="40.0" w:type="dxa"/>
              <w:left w:w="40.0" w:type="dxa"/>
              <w:bottom w:w="40.0" w:type="dxa"/>
              <w:right w:w="40.0" w:type="dxa"/>
            </w:tcMar>
            <w:vAlign w:val="center"/>
          </w:tcPr>
          <w:p w:rsidR="00000000" w:rsidDel="00000000" w:rsidP="00000000" w:rsidRDefault="00000000" w:rsidRPr="00000000" w14:paraId="0000026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0.44472</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6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0.41094</w:t>
            </w:r>
          </w:p>
        </w:tc>
        <w:tc>
          <w:tcPr>
            <w:tcMar>
              <w:top w:w="40.0" w:type="dxa"/>
              <w:left w:w="40.0" w:type="dxa"/>
              <w:bottom w:w="40.0" w:type="dxa"/>
              <w:right w:w="40.0" w:type="dxa"/>
            </w:tcMar>
            <w:vAlign w:val="center"/>
          </w:tcPr>
          <w:p w:rsidR="00000000" w:rsidDel="00000000" w:rsidP="00000000" w:rsidRDefault="00000000" w:rsidRPr="00000000" w14:paraId="0000026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0.60952</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6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0.48866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6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0.48876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6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0.51296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6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0.48478</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6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0.47031</w:t>
            </w:r>
            <w:r w:rsidDel="00000000" w:rsidR="00000000" w:rsidRPr="00000000">
              <w:rPr>
                <w:rtl w:val="0"/>
              </w:rPr>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6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40.0" w:type="dxa"/>
              <w:left w:w="40.0" w:type="dxa"/>
              <w:bottom w:w="40.0" w:type="dxa"/>
              <w:right w:w="40.0" w:type="dxa"/>
            </w:tcMar>
            <w:vAlign w:val="center"/>
          </w:tcPr>
          <w:p w:rsidR="00000000" w:rsidDel="00000000" w:rsidP="00000000" w:rsidRDefault="00000000" w:rsidRPr="00000000" w14:paraId="0000026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0.37744</w:t>
            </w:r>
          </w:p>
        </w:tc>
        <w:tc>
          <w:tcPr>
            <w:tcMar>
              <w:top w:w="40.0" w:type="dxa"/>
              <w:left w:w="40.0" w:type="dxa"/>
              <w:bottom w:w="40.0" w:type="dxa"/>
              <w:right w:w="40.0" w:type="dxa"/>
            </w:tcMar>
            <w:vAlign w:val="center"/>
          </w:tcPr>
          <w:p w:rsidR="00000000" w:rsidDel="00000000" w:rsidP="00000000" w:rsidRDefault="00000000" w:rsidRPr="00000000" w14:paraId="0000027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0.23348</w:t>
            </w:r>
          </w:p>
        </w:tc>
        <w:tc>
          <w:tcPr>
            <w:tcMar>
              <w:top w:w="40.0" w:type="dxa"/>
              <w:left w:w="40.0" w:type="dxa"/>
              <w:bottom w:w="40.0" w:type="dxa"/>
              <w:right w:w="40.0" w:type="dxa"/>
            </w:tcMar>
            <w:vAlign w:val="center"/>
          </w:tcPr>
          <w:p w:rsidR="00000000" w:rsidDel="00000000" w:rsidP="00000000" w:rsidRDefault="00000000" w:rsidRPr="00000000" w14:paraId="0000027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0.39294</w:t>
            </w:r>
          </w:p>
        </w:tc>
        <w:tc>
          <w:tcPr>
            <w:tcMar>
              <w:top w:w="40.0" w:type="dxa"/>
              <w:left w:w="40.0" w:type="dxa"/>
              <w:bottom w:w="40.0" w:type="dxa"/>
              <w:right w:w="40.0" w:type="dxa"/>
            </w:tcMar>
            <w:vAlign w:val="center"/>
          </w:tcPr>
          <w:p w:rsidR="00000000" w:rsidDel="00000000" w:rsidP="00000000" w:rsidRDefault="00000000" w:rsidRPr="00000000" w14:paraId="0000027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0.39149</w:t>
            </w:r>
          </w:p>
        </w:tc>
        <w:tc>
          <w:tcPr>
            <w:tcMar>
              <w:top w:w="40.0" w:type="dxa"/>
              <w:left w:w="40.0" w:type="dxa"/>
              <w:bottom w:w="40.0" w:type="dxa"/>
              <w:right w:w="40.0" w:type="dxa"/>
            </w:tcMar>
            <w:vAlign w:val="center"/>
          </w:tcPr>
          <w:p w:rsidR="00000000" w:rsidDel="00000000" w:rsidP="00000000" w:rsidRDefault="00000000" w:rsidRPr="00000000" w14:paraId="0000027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0.31045</w:t>
            </w:r>
          </w:p>
        </w:tc>
        <w:tc>
          <w:tcPr>
            <w:tcMar>
              <w:top w:w="40.0" w:type="dxa"/>
              <w:left w:w="40.0" w:type="dxa"/>
              <w:bottom w:w="40.0" w:type="dxa"/>
              <w:right w:w="40.0" w:type="dxa"/>
            </w:tcMar>
            <w:vAlign w:val="center"/>
          </w:tcPr>
          <w:p w:rsidR="00000000" w:rsidDel="00000000" w:rsidP="00000000" w:rsidRDefault="00000000" w:rsidRPr="00000000" w14:paraId="0000027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0.35793</w:t>
            </w:r>
          </w:p>
        </w:tc>
        <w:tc>
          <w:tcPr>
            <w:tcMar>
              <w:top w:w="40.0" w:type="dxa"/>
              <w:left w:w="40.0" w:type="dxa"/>
              <w:bottom w:w="40.0" w:type="dxa"/>
              <w:right w:w="40.0" w:type="dxa"/>
            </w:tcMar>
            <w:vAlign w:val="center"/>
          </w:tcPr>
          <w:p w:rsidR="00000000" w:rsidDel="00000000" w:rsidP="00000000" w:rsidRDefault="00000000" w:rsidRPr="00000000" w14:paraId="0000027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0.25627</w:t>
            </w:r>
          </w:p>
        </w:tc>
        <w:tc>
          <w:tcPr>
            <w:tcMar>
              <w:top w:w="40.0" w:type="dxa"/>
              <w:left w:w="40.0" w:type="dxa"/>
              <w:bottom w:w="40.0" w:type="dxa"/>
              <w:right w:w="40.0" w:type="dxa"/>
            </w:tcMar>
            <w:vAlign w:val="center"/>
          </w:tcPr>
          <w:p w:rsidR="00000000" w:rsidDel="00000000" w:rsidP="00000000" w:rsidRDefault="00000000" w:rsidRPr="00000000" w14:paraId="0000027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0.44905</w:t>
            </w:r>
            <w:r w:rsidDel="00000000" w:rsidR="00000000" w:rsidRPr="00000000">
              <w:rPr>
                <w:rtl w:val="0"/>
              </w:rPr>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77">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40.0" w:type="dxa"/>
              <w:left w:w="40.0" w:type="dxa"/>
              <w:bottom w:w="40.0" w:type="dxa"/>
              <w:right w:w="40.0" w:type="dxa"/>
            </w:tcMar>
            <w:vAlign w:val="center"/>
          </w:tcPr>
          <w:p w:rsidR="00000000" w:rsidDel="00000000" w:rsidP="00000000" w:rsidRDefault="00000000" w:rsidRPr="00000000" w14:paraId="0000027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0.65073</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7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0.40368</w:t>
            </w:r>
          </w:p>
        </w:tc>
        <w:tc>
          <w:tcPr>
            <w:tcMar>
              <w:top w:w="40.0" w:type="dxa"/>
              <w:left w:w="40.0" w:type="dxa"/>
              <w:bottom w:w="40.0" w:type="dxa"/>
              <w:right w:w="40.0" w:type="dxa"/>
            </w:tcMar>
            <w:vAlign w:val="center"/>
          </w:tcPr>
          <w:p w:rsidR="00000000" w:rsidDel="00000000" w:rsidP="00000000" w:rsidRDefault="00000000" w:rsidRPr="00000000" w14:paraId="0000027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0.48279</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7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0.53256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7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0.52321</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7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0.53130</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7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0.56026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7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0.51694</w:t>
            </w:r>
            <w:r w:rsidDel="00000000" w:rsidR="00000000" w:rsidRPr="00000000">
              <w:rPr>
                <w:rtl w:val="0"/>
              </w:rPr>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8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40.0" w:type="dxa"/>
              <w:left w:w="40.0" w:type="dxa"/>
              <w:bottom w:w="40.0" w:type="dxa"/>
              <w:right w:w="40.0" w:type="dxa"/>
            </w:tcMar>
            <w:vAlign w:val="center"/>
          </w:tcPr>
          <w:p w:rsidR="00000000" w:rsidDel="00000000" w:rsidP="00000000" w:rsidRDefault="00000000" w:rsidRPr="00000000" w14:paraId="0000028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0.47563</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8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0.37771</w:t>
            </w:r>
          </w:p>
        </w:tc>
        <w:tc>
          <w:tcPr>
            <w:tcMar>
              <w:top w:w="40.0" w:type="dxa"/>
              <w:left w:w="40.0" w:type="dxa"/>
              <w:bottom w:w="40.0" w:type="dxa"/>
              <w:right w:w="40.0" w:type="dxa"/>
            </w:tcMar>
            <w:vAlign w:val="center"/>
          </w:tcPr>
          <w:p w:rsidR="00000000" w:rsidDel="00000000" w:rsidP="00000000" w:rsidRDefault="00000000" w:rsidRPr="00000000" w14:paraId="0000028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0.50756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8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0.35930</w:t>
            </w:r>
          </w:p>
        </w:tc>
        <w:tc>
          <w:tcPr>
            <w:tcMar>
              <w:top w:w="40.0" w:type="dxa"/>
              <w:left w:w="40.0" w:type="dxa"/>
              <w:bottom w:w="40.0" w:type="dxa"/>
              <w:right w:w="40.0" w:type="dxa"/>
            </w:tcMar>
            <w:vAlign w:val="center"/>
          </w:tcPr>
          <w:p w:rsidR="00000000" w:rsidDel="00000000" w:rsidP="00000000" w:rsidRDefault="00000000" w:rsidRPr="00000000" w14:paraId="0000028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0.43870</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8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0.44963</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8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0.34901</w:t>
            </w:r>
          </w:p>
        </w:tc>
        <w:tc>
          <w:tcPr>
            <w:tcMar>
              <w:top w:w="40.0" w:type="dxa"/>
              <w:left w:w="40.0" w:type="dxa"/>
              <w:bottom w:w="40.0" w:type="dxa"/>
              <w:right w:w="40.0" w:type="dxa"/>
            </w:tcMar>
            <w:vAlign w:val="center"/>
          </w:tcPr>
          <w:p w:rsidR="00000000" w:rsidDel="00000000" w:rsidP="00000000" w:rsidRDefault="00000000" w:rsidRPr="00000000" w14:paraId="0000028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0.54059</w:t>
            </w:r>
            <w:r w:rsidDel="00000000" w:rsidR="00000000" w:rsidRPr="00000000">
              <w:rPr>
                <w:rtl w:val="0"/>
              </w:rPr>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89">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40.0" w:type="dxa"/>
              <w:left w:w="40.0" w:type="dxa"/>
              <w:bottom w:w="40.0" w:type="dxa"/>
              <w:right w:w="40.0" w:type="dxa"/>
            </w:tcMar>
            <w:vAlign w:val="center"/>
          </w:tcPr>
          <w:p w:rsidR="00000000" w:rsidDel="00000000" w:rsidP="00000000" w:rsidRDefault="00000000" w:rsidRPr="00000000" w14:paraId="0000028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0.52865</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8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0.27607</w:t>
            </w:r>
          </w:p>
        </w:tc>
        <w:tc>
          <w:tcPr>
            <w:tcMar>
              <w:top w:w="40.0" w:type="dxa"/>
              <w:left w:w="40.0" w:type="dxa"/>
              <w:bottom w:w="40.0" w:type="dxa"/>
              <w:right w:w="40.0" w:type="dxa"/>
            </w:tcMar>
            <w:vAlign w:val="center"/>
          </w:tcPr>
          <w:p w:rsidR="00000000" w:rsidDel="00000000" w:rsidP="00000000" w:rsidRDefault="00000000" w:rsidRPr="00000000" w14:paraId="0000028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0.50695</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8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0.41977</w:t>
            </w:r>
          </w:p>
        </w:tc>
        <w:tc>
          <w:tcPr>
            <w:tcMar>
              <w:top w:w="40.0" w:type="dxa"/>
              <w:left w:w="40.0" w:type="dxa"/>
              <w:bottom w:w="40.0" w:type="dxa"/>
              <w:right w:w="40.0" w:type="dxa"/>
            </w:tcMar>
            <w:vAlign w:val="center"/>
          </w:tcPr>
          <w:p w:rsidR="00000000" w:rsidDel="00000000" w:rsidP="00000000" w:rsidRDefault="00000000" w:rsidRPr="00000000" w14:paraId="0000028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0.34166</w:t>
            </w:r>
          </w:p>
        </w:tc>
        <w:tc>
          <w:tcPr>
            <w:tcMar>
              <w:top w:w="40.0" w:type="dxa"/>
              <w:left w:w="40.0" w:type="dxa"/>
              <w:bottom w:w="40.0" w:type="dxa"/>
              <w:right w:w="40.0" w:type="dxa"/>
            </w:tcMar>
            <w:vAlign w:val="center"/>
          </w:tcPr>
          <w:p w:rsidR="00000000" w:rsidDel="00000000" w:rsidP="00000000" w:rsidRDefault="00000000" w:rsidRPr="00000000" w14:paraId="0000028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0.52507</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9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0.44540</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9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0.40648</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9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40.0" w:type="dxa"/>
              <w:left w:w="40.0" w:type="dxa"/>
              <w:bottom w:w="40.0" w:type="dxa"/>
              <w:right w:w="40.0" w:type="dxa"/>
            </w:tcMar>
            <w:vAlign w:val="center"/>
          </w:tcPr>
          <w:p w:rsidR="00000000" w:rsidDel="00000000" w:rsidP="00000000" w:rsidRDefault="00000000" w:rsidRPr="00000000" w14:paraId="0000029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0.47710</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9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0.28876</w:t>
            </w:r>
          </w:p>
        </w:tc>
        <w:tc>
          <w:tcPr>
            <w:tcMar>
              <w:top w:w="40.0" w:type="dxa"/>
              <w:left w:w="40.0" w:type="dxa"/>
              <w:bottom w:w="40.0" w:type="dxa"/>
              <w:right w:w="40.0" w:type="dxa"/>
            </w:tcMar>
            <w:vAlign w:val="center"/>
          </w:tcPr>
          <w:p w:rsidR="00000000" w:rsidDel="00000000" w:rsidP="00000000" w:rsidRDefault="00000000" w:rsidRPr="00000000" w14:paraId="0000029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0.47237</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9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0.39072</w:t>
            </w:r>
          </w:p>
        </w:tc>
        <w:tc>
          <w:tcPr>
            <w:tcMar>
              <w:top w:w="40.0" w:type="dxa"/>
              <w:left w:w="40.0" w:type="dxa"/>
              <w:bottom w:w="40.0" w:type="dxa"/>
              <w:right w:w="40.0" w:type="dxa"/>
            </w:tcMar>
            <w:vAlign w:val="center"/>
          </w:tcPr>
          <w:p w:rsidR="00000000" w:rsidDel="00000000" w:rsidP="00000000" w:rsidRDefault="00000000" w:rsidRPr="00000000" w14:paraId="0000029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0.44316</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9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0.33592</w:t>
            </w:r>
          </w:p>
        </w:tc>
        <w:tc>
          <w:tcPr>
            <w:tcMar>
              <w:top w:w="40.0" w:type="dxa"/>
              <w:left w:w="40.0" w:type="dxa"/>
              <w:bottom w:w="40.0" w:type="dxa"/>
              <w:right w:w="40.0" w:type="dxa"/>
            </w:tcMar>
            <w:vAlign w:val="center"/>
          </w:tcPr>
          <w:p w:rsidR="00000000" w:rsidDel="00000000" w:rsidP="00000000" w:rsidRDefault="00000000" w:rsidRPr="00000000" w14:paraId="0000029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0.43099</w:t>
            </w:r>
          </w:p>
        </w:tc>
        <w:tc>
          <w:tcPr>
            <w:tcMar>
              <w:top w:w="40.0" w:type="dxa"/>
              <w:left w:w="40.0" w:type="dxa"/>
              <w:bottom w:w="40.0" w:type="dxa"/>
              <w:right w:w="40.0" w:type="dxa"/>
            </w:tcMar>
            <w:vAlign w:val="center"/>
          </w:tcPr>
          <w:p w:rsidR="00000000" w:rsidDel="00000000" w:rsidP="00000000" w:rsidRDefault="00000000" w:rsidRPr="00000000" w14:paraId="0000029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0.37990</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9B">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40.0" w:type="dxa"/>
              <w:left w:w="40.0" w:type="dxa"/>
              <w:bottom w:w="40.0" w:type="dxa"/>
              <w:right w:w="40.0" w:type="dxa"/>
            </w:tcMar>
            <w:vAlign w:val="center"/>
          </w:tcPr>
          <w:p w:rsidR="00000000" w:rsidDel="00000000" w:rsidP="00000000" w:rsidRDefault="00000000" w:rsidRPr="00000000" w14:paraId="0000029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0.35808</w:t>
            </w:r>
          </w:p>
        </w:tc>
        <w:tc>
          <w:tcPr>
            <w:tcMar>
              <w:top w:w="40.0" w:type="dxa"/>
              <w:left w:w="40.0" w:type="dxa"/>
              <w:bottom w:w="40.0" w:type="dxa"/>
              <w:right w:w="40.0" w:type="dxa"/>
            </w:tcMar>
            <w:vAlign w:val="center"/>
          </w:tcPr>
          <w:p w:rsidR="00000000" w:rsidDel="00000000" w:rsidP="00000000" w:rsidRDefault="00000000" w:rsidRPr="00000000" w14:paraId="0000029D">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0.18203</w:t>
            </w:r>
          </w:p>
        </w:tc>
        <w:tc>
          <w:tcPr>
            <w:tcMar>
              <w:top w:w="40.0" w:type="dxa"/>
              <w:left w:w="40.0" w:type="dxa"/>
              <w:bottom w:w="40.0" w:type="dxa"/>
              <w:right w:w="40.0" w:type="dxa"/>
            </w:tcMar>
            <w:vAlign w:val="center"/>
          </w:tcPr>
          <w:p w:rsidR="00000000" w:rsidDel="00000000" w:rsidP="00000000" w:rsidRDefault="00000000" w:rsidRPr="00000000" w14:paraId="0000029E">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0.35002</w:t>
            </w:r>
          </w:p>
        </w:tc>
        <w:tc>
          <w:tcPr>
            <w:tcMar>
              <w:top w:w="40.0" w:type="dxa"/>
              <w:left w:w="40.0" w:type="dxa"/>
              <w:bottom w:w="40.0" w:type="dxa"/>
              <w:right w:w="40.0" w:type="dxa"/>
            </w:tcMar>
            <w:vAlign w:val="center"/>
          </w:tcPr>
          <w:p w:rsidR="00000000" w:rsidDel="00000000" w:rsidP="00000000" w:rsidRDefault="00000000" w:rsidRPr="00000000" w14:paraId="0000029F">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0.23080</w:t>
            </w:r>
          </w:p>
        </w:tc>
        <w:tc>
          <w:tcPr>
            <w:tcMar>
              <w:top w:w="40.0" w:type="dxa"/>
              <w:left w:w="40.0" w:type="dxa"/>
              <w:bottom w:w="40.0" w:type="dxa"/>
              <w:right w:w="40.0" w:type="dxa"/>
            </w:tcMar>
            <w:vAlign w:val="center"/>
          </w:tcPr>
          <w:p w:rsidR="00000000" w:rsidDel="00000000" w:rsidP="00000000" w:rsidRDefault="00000000" w:rsidRPr="00000000" w14:paraId="000002A0">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0.29575</w:t>
            </w:r>
          </w:p>
        </w:tc>
        <w:tc>
          <w:tcPr>
            <w:tcMar>
              <w:top w:w="40.0" w:type="dxa"/>
              <w:left w:w="40.0" w:type="dxa"/>
              <w:bottom w:w="40.0" w:type="dxa"/>
              <w:right w:w="40.0" w:type="dxa"/>
            </w:tcMar>
            <w:vAlign w:val="center"/>
          </w:tcPr>
          <w:p w:rsidR="00000000" w:rsidDel="00000000" w:rsidP="00000000" w:rsidRDefault="00000000" w:rsidRPr="00000000" w14:paraId="000002A1">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0.29430</w:t>
            </w:r>
          </w:p>
        </w:tc>
        <w:tc>
          <w:tcPr>
            <w:tcMar>
              <w:top w:w="40.0" w:type="dxa"/>
              <w:left w:w="40.0" w:type="dxa"/>
              <w:bottom w:w="40.0" w:type="dxa"/>
              <w:right w:w="40.0" w:type="dxa"/>
            </w:tcMar>
            <w:vAlign w:val="center"/>
          </w:tcPr>
          <w:p w:rsidR="00000000" w:rsidDel="00000000" w:rsidP="00000000" w:rsidRDefault="00000000" w:rsidRPr="00000000" w14:paraId="000002A2">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0.21254</w:t>
            </w:r>
          </w:p>
        </w:tc>
        <w:tc>
          <w:tcPr>
            <w:tcMar>
              <w:top w:w="40.0" w:type="dxa"/>
              <w:left w:w="40.0" w:type="dxa"/>
              <w:bottom w:w="40.0" w:type="dxa"/>
              <w:right w:w="40.0" w:type="dxa"/>
            </w:tcMar>
            <w:vAlign w:val="center"/>
          </w:tcPr>
          <w:p w:rsidR="00000000" w:rsidDel="00000000" w:rsidP="00000000" w:rsidRDefault="00000000" w:rsidRPr="00000000" w14:paraId="000002A3">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0.20711</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A4">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Mar>
              <w:top w:w="40.0" w:type="dxa"/>
              <w:left w:w="40.0" w:type="dxa"/>
              <w:bottom w:w="40.0" w:type="dxa"/>
              <w:right w:w="40.0" w:type="dxa"/>
            </w:tcMar>
            <w:vAlign w:val="center"/>
          </w:tcPr>
          <w:p w:rsidR="00000000" w:rsidDel="00000000" w:rsidP="00000000" w:rsidRDefault="00000000" w:rsidRPr="00000000" w14:paraId="000002A5">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0.51601</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A6">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0.48305</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A7">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0.55405</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A8">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0.55559</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A9">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0.44390</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AA">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0.51261</w:t>
            </w:r>
            <w:r w:rsidDel="00000000" w:rsidR="00000000" w:rsidRPr="00000000">
              <w:rPr>
                <w:rtl w:val="0"/>
              </w:rPr>
            </w:r>
          </w:p>
        </w:tc>
        <w:tc>
          <w:tcPr>
            <w:tcMar>
              <w:top w:w="40.0" w:type="dxa"/>
              <w:left w:w="40.0" w:type="dxa"/>
              <w:bottom w:w="40.0" w:type="dxa"/>
              <w:right w:w="40.0" w:type="dxa"/>
            </w:tcMar>
            <w:vAlign w:val="center"/>
          </w:tcPr>
          <w:p w:rsidR="00000000" w:rsidDel="00000000" w:rsidP="00000000" w:rsidRDefault="00000000" w:rsidRPr="00000000" w14:paraId="000002AB">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0.42028</w:t>
            </w:r>
          </w:p>
        </w:tc>
        <w:tc>
          <w:tcPr>
            <w:tcMar>
              <w:top w:w="40.0" w:type="dxa"/>
              <w:left w:w="40.0" w:type="dxa"/>
              <w:bottom w:w="40.0" w:type="dxa"/>
              <w:right w:w="40.0" w:type="dxa"/>
            </w:tcMar>
            <w:vAlign w:val="center"/>
          </w:tcPr>
          <w:p w:rsidR="00000000" w:rsidDel="00000000" w:rsidP="00000000" w:rsidRDefault="00000000" w:rsidRPr="00000000" w14:paraId="000002AC">
            <w:pPr>
              <w:spacing w:after="12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0.40166</w:t>
            </w:r>
          </w:p>
        </w:tc>
      </w:tr>
    </w:tbl>
    <w:p w:rsidR="00000000" w:rsidDel="00000000" w:rsidP="00000000" w:rsidRDefault="00000000" w:rsidRPr="00000000" w14:paraId="000002AD">
      <w:pPr>
        <w:spacing w:after="12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E">
      <w:pPr>
        <w:spacing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value of “R+C” was then constructed, considered as “Prominence”, which captures the importance of each criterion. The “R-C”, referred to as “Relation”, is developed by subtracting R from C. The results of this stage were then summarized in Table 9 to show the cause-and-effect relationship among the criteria. For the negative value of “R-C”, the criteria were classified as the effect group, while the criteria with the positive value of “R-C” were put in the cause group. Based on Table 9, the results revealed the influence of the criteria on the choice of collection methods. Specifically, prominence (R+C) ranks the criteria by overall centrality, with transportation time - S3 (8.078) and transportation cost - S1 (7.739) being the most prominent, followed by cargo characteristics - S8 (7.259). These high prominence values indicate that these criteria either influence many other attributes or are strongly influenced by them, making them pivotal in the decision context. Besides, Relation also stated that transportation cost, wastage cost, transportation time, custom clearance time, freight frequency, and cargo characteristics belong to the cause group, meaning that they influence the others more than being influenced. However, the load capacity and CO2 emissions are classified into an effect group, indicating that they are significantly affected by the other criteria.</w:t>
      </w:r>
    </w:p>
    <w:p w:rsidR="00000000" w:rsidDel="00000000" w:rsidP="00000000" w:rsidRDefault="00000000" w:rsidRPr="00000000" w14:paraId="000002AF">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9: Cause-and-effect relationship among the criteria</w:t>
      </w:r>
    </w:p>
    <w:p w:rsidR="00000000" w:rsidDel="00000000" w:rsidP="00000000" w:rsidRDefault="00000000" w:rsidRPr="00000000" w14:paraId="000002B1">
      <w:pPr>
        <w:spacing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10"/>
        <w:tblW w:w="6270.0" w:type="dxa"/>
        <w:jc w:val="left"/>
        <w:tblInd w:w="1418.0" w:type="dxa"/>
        <w:tblBorders>
          <w:top w:color="000000" w:space="0" w:sz="12" w:val="single"/>
          <w:bottom w:color="000000" w:space="0" w:sz="12" w:val="single"/>
        </w:tblBorders>
        <w:tblLayout w:type="fixed"/>
        <w:tblLook w:val="0400"/>
      </w:tblPr>
      <w:tblGrid>
        <w:gridCol w:w="824"/>
        <w:gridCol w:w="1019"/>
        <w:gridCol w:w="992"/>
        <w:gridCol w:w="1134"/>
        <w:gridCol w:w="1266"/>
        <w:gridCol w:w="1035"/>
        <w:tblGridChange w:id="0">
          <w:tblGrid>
            <w:gridCol w:w="824"/>
            <w:gridCol w:w="1019"/>
            <w:gridCol w:w="992"/>
            <w:gridCol w:w="1134"/>
            <w:gridCol w:w="1266"/>
            <w:gridCol w:w="1035"/>
          </w:tblGrid>
        </w:tblGridChange>
      </w:tblGrid>
      <w:tr>
        <w:trPr>
          <w:cantSplit w:val="0"/>
          <w:trHeight w:val="345" w:hRule="atLeast"/>
          <w:tblHeader w:val="0"/>
        </w:trPr>
        <w:tc>
          <w:tcPr>
            <w:tcBorders>
              <w:top w:color="000000" w:space="0" w:sz="12" w:val="single"/>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2">
            <w:pPr>
              <w:spacing w:after="120" w:line="288"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w:t>
            </w:r>
            <w:r w:rsidDel="00000000" w:rsidR="00000000" w:rsidRPr="00000000">
              <w:rPr>
                <w:rtl w:val="0"/>
              </w:rPr>
            </w:r>
          </w:p>
        </w:tc>
        <w:tc>
          <w:tcPr>
            <w:tcBorders>
              <w:top w:color="000000" w:space="0" w:sz="12" w:val="single"/>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tl w:val="0"/>
              </w:rPr>
            </w:r>
          </w:p>
        </w:tc>
        <w:tc>
          <w:tcPr>
            <w:tcBorders>
              <w:top w:color="000000" w:space="0" w:sz="12" w:val="single"/>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R+C</w:t>
            </w:r>
            <w:r w:rsidDel="00000000" w:rsidR="00000000" w:rsidRPr="00000000">
              <w:rPr>
                <w:rtl w:val="0"/>
              </w:rPr>
            </w:r>
          </w:p>
        </w:tc>
        <w:tc>
          <w:tcPr>
            <w:tcBorders>
              <w:top w:color="000000" w:space="0" w:sz="12" w:val="single"/>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R-C</w:t>
            </w:r>
            <w:r w:rsidDel="00000000" w:rsidR="00000000" w:rsidRPr="00000000">
              <w:rPr>
                <w:rtl w:val="0"/>
              </w:rPr>
            </w:r>
          </w:p>
        </w:tc>
        <w:tc>
          <w:tcPr>
            <w:tcBorders>
              <w:top w:color="000000" w:space="0" w:sz="12" w:val="single"/>
              <w:bottom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Identify</w:t>
            </w:r>
            <w:r w:rsidDel="00000000" w:rsidR="00000000" w:rsidRPr="00000000">
              <w:rPr>
                <w:rtl w:val="0"/>
              </w:rPr>
            </w:r>
          </w:p>
        </w:tc>
      </w:tr>
      <w:tr>
        <w:trPr>
          <w:cantSplit w:val="0"/>
          <w:trHeight w:val="360" w:hRule="atLeast"/>
          <w:tblHeader w:val="0"/>
        </w:trPr>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8">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S1</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3.91064</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3.82835</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7.73899</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0.08229</w:t>
            </w:r>
          </w:p>
        </w:tc>
        <w:tc>
          <w:tcPr>
            <w:tcBorders>
              <w:top w:color="000000" w:space="0" w:sz="12" w:val="single"/>
            </w:tcBorders>
            <w:tcMar>
              <w:top w:w="40.0" w:type="dxa"/>
              <w:left w:w="40.0" w:type="dxa"/>
              <w:bottom w:w="40.0" w:type="dxa"/>
              <w:right w:w="40.0" w:type="dxa"/>
            </w:tcMar>
            <w:vAlign w:val="center"/>
          </w:tcPr>
          <w:p w:rsidR="00000000" w:rsidDel="00000000" w:rsidP="00000000" w:rsidRDefault="00000000" w:rsidRPr="00000000" w14:paraId="000002B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BE">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S2</w:t>
            </w:r>
          </w:p>
        </w:tc>
        <w:tc>
          <w:tcPr>
            <w:tcMar>
              <w:top w:w="40.0" w:type="dxa"/>
              <w:left w:w="40.0" w:type="dxa"/>
              <w:bottom w:w="40.0" w:type="dxa"/>
              <w:right w:w="40.0" w:type="dxa"/>
            </w:tcMar>
            <w:vAlign w:val="center"/>
          </w:tcPr>
          <w:p w:rsidR="00000000" w:rsidDel="00000000" w:rsidP="00000000" w:rsidRDefault="00000000" w:rsidRPr="00000000" w14:paraId="000002B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2.76904</w:t>
            </w:r>
          </w:p>
        </w:tc>
        <w:tc>
          <w:tcPr>
            <w:tcMar>
              <w:top w:w="40.0" w:type="dxa"/>
              <w:left w:w="40.0" w:type="dxa"/>
              <w:bottom w:w="40.0" w:type="dxa"/>
              <w:right w:w="40.0" w:type="dxa"/>
            </w:tcMar>
            <w:vAlign w:val="center"/>
          </w:tcPr>
          <w:p w:rsidR="00000000" w:rsidDel="00000000" w:rsidP="00000000" w:rsidRDefault="00000000" w:rsidRPr="00000000" w14:paraId="000002C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2.65571</w:t>
            </w:r>
          </w:p>
        </w:tc>
        <w:tc>
          <w:tcPr>
            <w:tcMar>
              <w:top w:w="40.0" w:type="dxa"/>
              <w:left w:w="40.0" w:type="dxa"/>
              <w:bottom w:w="40.0" w:type="dxa"/>
              <w:right w:w="40.0" w:type="dxa"/>
            </w:tcMar>
            <w:vAlign w:val="center"/>
          </w:tcPr>
          <w:p w:rsidR="00000000" w:rsidDel="00000000" w:rsidP="00000000" w:rsidRDefault="00000000" w:rsidRPr="00000000" w14:paraId="000002C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5.42476</w:t>
            </w:r>
          </w:p>
        </w:tc>
        <w:tc>
          <w:tcPr>
            <w:tcMar>
              <w:top w:w="40.0" w:type="dxa"/>
              <w:left w:w="40.0" w:type="dxa"/>
              <w:bottom w:w="40.0" w:type="dxa"/>
              <w:right w:w="40.0" w:type="dxa"/>
            </w:tcMar>
            <w:vAlign w:val="center"/>
          </w:tcPr>
          <w:p w:rsidR="00000000" w:rsidDel="00000000" w:rsidP="00000000" w:rsidRDefault="00000000" w:rsidRPr="00000000" w14:paraId="000002C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0.11333</w:t>
            </w:r>
          </w:p>
        </w:tc>
        <w:tc>
          <w:tcPr>
            <w:tcMar>
              <w:top w:w="40.0" w:type="dxa"/>
              <w:left w:w="40.0" w:type="dxa"/>
              <w:bottom w:w="40.0" w:type="dxa"/>
              <w:right w:w="40.0" w:type="dxa"/>
            </w:tcMar>
            <w:vAlign w:val="center"/>
          </w:tcPr>
          <w:p w:rsidR="00000000" w:rsidDel="00000000" w:rsidP="00000000" w:rsidRDefault="00000000" w:rsidRPr="00000000" w14:paraId="000002C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C4">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S3</w:t>
            </w:r>
          </w:p>
        </w:tc>
        <w:tc>
          <w:tcPr>
            <w:tcMar>
              <w:top w:w="40.0" w:type="dxa"/>
              <w:left w:w="40.0" w:type="dxa"/>
              <w:bottom w:w="40.0" w:type="dxa"/>
              <w:right w:w="40.0" w:type="dxa"/>
            </w:tcMar>
            <w:vAlign w:val="center"/>
          </w:tcPr>
          <w:p w:rsidR="00000000" w:rsidDel="00000000" w:rsidP="00000000" w:rsidRDefault="00000000" w:rsidRPr="00000000" w14:paraId="000002C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4.20145</w:t>
            </w:r>
          </w:p>
        </w:tc>
        <w:tc>
          <w:tcPr>
            <w:tcMar>
              <w:top w:w="40.0" w:type="dxa"/>
              <w:left w:w="40.0" w:type="dxa"/>
              <w:bottom w:w="40.0" w:type="dxa"/>
              <w:right w:w="40.0" w:type="dxa"/>
            </w:tcMar>
            <w:vAlign w:val="center"/>
          </w:tcPr>
          <w:p w:rsidR="00000000" w:rsidDel="00000000" w:rsidP="00000000" w:rsidRDefault="00000000" w:rsidRPr="00000000" w14:paraId="000002C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3.87620</w:t>
            </w:r>
          </w:p>
        </w:tc>
        <w:tc>
          <w:tcPr>
            <w:tcMar>
              <w:top w:w="40.0" w:type="dxa"/>
              <w:left w:w="40.0" w:type="dxa"/>
              <w:bottom w:w="40.0" w:type="dxa"/>
              <w:right w:w="40.0" w:type="dxa"/>
            </w:tcMar>
            <w:vAlign w:val="center"/>
          </w:tcPr>
          <w:p w:rsidR="00000000" w:rsidDel="00000000" w:rsidP="00000000" w:rsidRDefault="00000000" w:rsidRPr="00000000" w14:paraId="000002C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8.07766</w:t>
            </w:r>
          </w:p>
        </w:tc>
        <w:tc>
          <w:tcPr>
            <w:tcMar>
              <w:top w:w="40.0" w:type="dxa"/>
              <w:left w:w="40.0" w:type="dxa"/>
              <w:bottom w:w="40.0" w:type="dxa"/>
              <w:right w:w="40.0" w:type="dxa"/>
            </w:tcMar>
            <w:vAlign w:val="center"/>
          </w:tcPr>
          <w:p w:rsidR="00000000" w:rsidDel="00000000" w:rsidP="00000000" w:rsidRDefault="00000000" w:rsidRPr="00000000" w14:paraId="000002C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0.32525</w:t>
            </w:r>
          </w:p>
        </w:tc>
        <w:tc>
          <w:tcPr>
            <w:tcMar>
              <w:top w:w="40.0" w:type="dxa"/>
              <w:left w:w="40.0" w:type="dxa"/>
              <w:bottom w:w="40.0" w:type="dxa"/>
              <w:right w:w="40.0" w:type="dxa"/>
            </w:tcMar>
            <w:vAlign w:val="center"/>
          </w:tcPr>
          <w:p w:rsidR="00000000" w:rsidDel="00000000" w:rsidP="00000000" w:rsidRDefault="00000000" w:rsidRPr="00000000" w14:paraId="000002C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C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S4</w:t>
            </w:r>
          </w:p>
        </w:tc>
        <w:tc>
          <w:tcPr>
            <w:tcMar>
              <w:top w:w="40.0" w:type="dxa"/>
              <w:left w:w="40.0" w:type="dxa"/>
              <w:bottom w:w="40.0" w:type="dxa"/>
              <w:right w:w="40.0" w:type="dxa"/>
            </w:tcMar>
            <w:vAlign w:val="center"/>
          </w:tcPr>
          <w:p w:rsidR="00000000" w:rsidDel="00000000" w:rsidP="00000000" w:rsidRDefault="00000000" w:rsidRPr="00000000" w14:paraId="000002C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3.49814</w:t>
            </w:r>
          </w:p>
        </w:tc>
        <w:tc>
          <w:tcPr>
            <w:tcMar>
              <w:top w:w="40.0" w:type="dxa"/>
              <w:left w:w="40.0" w:type="dxa"/>
              <w:bottom w:w="40.0" w:type="dxa"/>
              <w:right w:w="40.0" w:type="dxa"/>
            </w:tcMar>
            <w:vAlign w:val="center"/>
          </w:tcPr>
          <w:p w:rsidR="00000000" w:rsidDel="00000000" w:rsidP="00000000" w:rsidRDefault="00000000" w:rsidRPr="00000000" w14:paraId="000002CC">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3.36889</w:t>
            </w:r>
          </w:p>
        </w:tc>
        <w:tc>
          <w:tcPr>
            <w:tcMar>
              <w:top w:w="40.0" w:type="dxa"/>
              <w:left w:w="40.0" w:type="dxa"/>
              <w:bottom w:w="40.0" w:type="dxa"/>
              <w:right w:w="40.0" w:type="dxa"/>
            </w:tcMar>
            <w:vAlign w:val="center"/>
          </w:tcPr>
          <w:p w:rsidR="00000000" w:rsidDel="00000000" w:rsidP="00000000" w:rsidRDefault="00000000" w:rsidRPr="00000000" w14:paraId="000002C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6.86703</w:t>
            </w:r>
          </w:p>
        </w:tc>
        <w:tc>
          <w:tcPr>
            <w:tcMar>
              <w:top w:w="40.0" w:type="dxa"/>
              <w:left w:w="40.0" w:type="dxa"/>
              <w:bottom w:w="40.0" w:type="dxa"/>
              <w:right w:w="40.0" w:type="dxa"/>
            </w:tcMar>
            <w:vAlign w:val="center"/>
          </w:tcPr>
          <w:p w:rsidR="00000000" w:rsidDel="00000000" w:rsidP="00000000" w:rsidRDefault="00000000" w:rsidRPr="00000000" w14:paraId="000002C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0.12925</w:t>
            </w:r>
          </w:p>
        </w:tc>
        <w:tc>
          <w:tcPr>
            <w:tcMar>
              <w:top w:w="40.0" w:type="dxa"/>
              <w:left w:w="40.0" w:type="dxa"/>
              <w:bottom w:w="40.0" w:type="dxa"/>
              <w:right w:w="40.0" w:type="dxa"/>
            </w:tcMar>
            <w:vAlign w:val="center"/>
          </w:tcPr>
          <w:p w:rsidR="00000000" w:rsidDel="00000000" w:rsidP="00000000" w:rsidRDefault="00000000" w:rsidRPr="00000000" w14:paraId="000002C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D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S5</w:t>
            </w:r>
          </w:p>
        </w:tc>
        <w:tc>
          <w:tcPr>
            <w:tcMar>
              <w:top w:w="40.0" w:type="dxa"/>
              <w:left w:w="40.0" w:type="dxa"/>
              <w:bottom w:w="40.0" w:type="dxa"/>
              <w:right w:w="40.0" w:type="dxa"/>
            </w:tcMar>
            <w:vAlign w:val="center"/>
          </w:tcPr>
          <w:p w:rsidR="00000000" w:rsidDel="00000000" w:rsidP="00000000" w:rsidRDefault="00000000" w:rsidRPr="00000000" w14:paraId="000002D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3.45004</w:t>
            </w:r>
          </w:p>
        </w:tc>
        <w:tc>
          <w:tcPr>
            <w:tcMar>
              <w:top w:w="40.0" w:type="dxa"/>
              <w:left w:w="40.0" w:type="dxa"/>
              <w:bottom w:w="40.0" w:type="dxa"/>
              <w:right w:w="40.0" w:type="dxa"/>
            </w:tcMar>
            <w:vAlign w:val="center"/>
          </w:tcPr>
          <w:p w:rsidR="00000000" w:rsidDel="00000000" w:rsidP="00000000" w:rsidRDefault="00000000" w:rsidRPr="00000000" w14:paraId="000002D2">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3.28558</w:t>
            </w:r>
          </w:p>
        </w:tc>
        <w:tc>
          <w:tcPr>
            <w:tcMar>
              <w:top w:w="40.0" w:type="dxa"/>
              <w:left w:w="40.0" w:type="dxa"/>
              <w:bottom w:w="40.0" w:type="dxa"/>
              <w:right w:w="40.0" w:type="dxa"/>
            </w:tcMar>
            <w:vAlign w:val="center"/>
          </w:tcPr>
          <w:p w:rsidR="00000000" w:rsidDel="00000000" w:rsidP="00000000" w:rsidRDefault="00000000" w:rsidRPr="00000000" w14:paraId="000002D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6.73562</w:t>
            </w:r>
          </w:p>
        </w:tc>
        <w:tc>
          <w:tcPr>
            <w:tcMar>
              <w:top w:w="40.0" w:type="dxa"/>
              <w:left w:w="40.0" w:type="dxa"/>
              <w:bottom w:w="40.0" w:type="dxa"/>
              <w:right w:w="40.0" w:type="dxa"/>
            </w:tcMar>
            <w:vAlign w:val="center"/>
          </w:tcPr>
          <w:p w:rsidR="00000000" w:rsidDel="00000000" w:rsidP="00000000" w:rsidRDefault="00000000" w:rsidRPr="00000000" w14:paraId="000002D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0.16445</w:t>
            </w:r>
          </w:p>
        </w:tc>
        <w:tc>
          <w:tcPr>
            <w:tcMar>
              <w:top w:w="40.0" w:type="dxa"/>
              <w:left w:w="40.0" w:type="dxa"/>
              <w:bottom w:w="40.0" w:type="dxa"/>
              <w:right w:w="40.0" w:type="dxa"/>
            </w:tcMar>
            <w:vAlign w:val="center"/>
          </w:tcPr>
          <w:p w:rsidR="00000000" w:rsidDel="00000000" w:rsidP="00000000" w:rsidRDefault="00000000" w:rsidRPr="00000000" w14:paraId="000002D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D6">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S6</w:t>
            </w:r>
          </w:p>
        </w:tc>
        <w:tc>
          <w:tcPr>
            <w:tcMar>
              <w:top w:w="40.0" w:type="dxa"/>
              <w:left w:w="40.0" w:type="dxa"/>
              <w:bottom w:w="40.0" w:type="dxa"/>
              <w:right w:w="40.0" w:type="dxa"/>
            </w:tcMar>
            <w:vAlign w:val="center"/>
          </w:tcPr>
          <w:p w:rsidR="00000000" w:rsidDel="00000000" w:rsidP="00000000" w:rsidRDefault="00000000" w:rsidRPr="00000000" w14:paraId="000002D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3.21892</w:t>
            </w:r>
          </w:p>
        </w:tc>
        <w:tc>
          <w:tcPr>
            <w:tcMar>
              <w:top w:w="40.0" w:type="dxa"/>
              <w:left w:w="40.0" w:type="dxa"/>
              <w:bottom w:w="40.0" w:type="dxa"/>
              <w:right w:w="40.0" w:type="dxa"/>
            </w:tcMar>
            <w:vAlign w:val="center"/>
          </w:tcPr>
          <w:p w:rsidR="00000000" w:rsidDel="00000000" w:rsidP="00000000" w:rsidRDefault="00000000" w:rsidRPr="00000000" w14:paraId="000002D8">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3.51972</w:t>
            </w:r>
          </w:p>
        </w:tc>
        <w:tc>
          <w:tcPr>
            <w:tcMar>
              <w:top w:w="40.0" w:type="dxa"/>
              <w:left w:w="40.0" w:type="dxa"/>
              <w:bottom w:w="40.0" w:type="dxa"/>
              <w:right w:w="40.0" w:type="dxa"/>
            </w:tcMar>
            <w:vAlign w:val="center"/>
          </w:tcPr>
          <w:p w:rsidR="00000000" w:rsidDel="00000000" w:rsidP="00000000" w:rsidRDefault="00000000" w:rsidRPr="00000000" w14:paraId="000002D9">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6.73864</w:t>
            </w:r>
          </w:p>
        </w:tc>
        <w:tc>
          <w:tcPr>
            <w:tcMar>
              <w:top w:w="40.0" w:type="dxa"/>
              <w:left w:w="40.0" w:type="dxa"/>
              <w:bottom w:w="40.0" w:type="dxa"/>
              <w:right w:w="40.0" w:type="dxa"/>
            </w:tcMar>
            <w:vAlign w:val="center"/>
          </w:tcPr>
          <w:p w:rsidR="00000000" w:rsidDel="00000000" w:rsidP="00000000" w:rsidRDefault="00000000" w:rsidRPr="00000000" w14:paraId="000002DA">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-0.30080</w:t>
            </w:r>
          </w:p>
        </w:tc>
        <w:tc>
          <w:tcPr>
            <w:tcMar>
              <w:top w:w="40.0" w:type="dxa"/>
              <w:left w:w="40.0" w:type="dxa"/>
              <w:bottom w:w="40.0" w:type="dxa"/>
              <w:right w:w="40.0" w:type="dxa"/>
            </w:tcMar>
            <w:vAlign w:val="center"/>
          </w:tcPr>
          <w:p w:rsidR="00000000" w:rsidDel="00000000" w:rsidP="00000000" w:rsidRDefault="00000000" w:rsidRPr="00000000" w14:paraId="000002DB">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D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S7</w:t>
            </w:r>
          </w:p>
        </w:tc>
        <w:tc>
          <w:tcPr>
            <w:tcMar>
              <w:top w:w="40.0" w:type="dxa"/>
              <w:left w:w="40.0" w:type="dxa"/>
              <w:bottom w:w="40.0" w:type="dxa"/>
              <w:right w:w="40.0" w:type="dxa"/>
            </w:tcMar>
            <w:vAlign w:val="center"/>
          </w:tcPr>
          <w:p w:rsidR="00000000" w:rsidDel="00000000" w:rsidP="00000000" w:rsidRDefault="00000000" w:rsidRPr="00000000" w14:paraId="000002D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2.13064</w:t>
            </w:r>
          </w:p>
        </w:tc>
        <w:tc>
          <w:tcPr>
            <w:tcMar>
              <w:top w:w="40.0" w:type="dxa"/>
              <w:left w:w="40.0" w:type="dxa"/>
              <w:bottom w:w="40.0" w:type="dxa"/>
              <w:right w:w="40.0" w:type="dxa"/>
            </w:tcMar>
            <w:vAlign w:val="center"/>
          </w:tcPr>
          <w:p w:rsidR="00000000" w:rsidDel="00000000" w:rsidP="00000000" w:rsidRDefault="00000000" w:rsidRPr="00000000" w14:paraId="000002DE">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3.15953</w:t>
            </w:r>
          </w:p>
        </w:tc>
        <w:tc>
          <w:tcPr>
            <w:tcMar>
              <w:top w:w="40.0" w:type="dxa"/>
              <w:left w:w="40.0" w:type="dxa"/>
              <w:bottom w:w="40.0" w:type="dxa"/>
              <w:right w:w="40.0" w:type="dxa"/>
            </w:tcMar>
            <w:vAlign w:val="center"/>
          </w:tcPr>
          <w:p w:rsidR="00000000" w:rsidDel="00000000" w:rsidP="00000000" w:rsidRDefault="00000000" w:rsidRPr="00000000" w14:paraId="000002DF">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5.29017</w:t>
            </w:r>
          </w:p>
        </w:tc>
        <w:tc>
          <w:tcPr>
            <w:tcMar>
              <w:top w:w="40.0" w:type="dxa"/>
              <w:left w:w="40.0" w:type="dxa"/>
              <w:bottom w:w="40.0" w:type="dxa"/>
              <w:right w:w="40.0" w:type="dxa"/>
            </w:tcMar>
            <w:vAlign w:val="center"/>
          </w:tcPr>
          <w:p w:rsidR="00000000" w:rsidDel="00000000" w:rsidP="00000000" w:rsidRDefault="00000000" w:rsidRPr="00000000" w14:paraId="000002E0">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-1.02889</w:t>
            </w:r>
          </w:p>
        </w:tc>
        <w:tc>
          <w:tcPr>
            <w:tcMar>
              <w:top w:w="40.0" w:type="dxa"/>
              <w:left w:w="40.0" w:type="dxa"/>
              <w:bottom w:w="40.0" w:type="dxa"/>
              <w:right w:w="40.0" w:type="dxa"/>
            </w:tcMar>
            <w:vAlign w:val="center"/>
          </w:tcPr>
          <w:p w:rsidR="00000000" w:rsidDel="00000000" w:rsidP="00000000" w:rsidRDefault="00000000" w:rsidRPr="00000000" w14:paraId="000002E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w:t>
            </w:r>
          </w:p>
        </w:tc>
      </w:tr>
      <w:tr>
        <w:trPr>
          <w:cantSplit w:val="0"/>
          <w:trHeight w:val="360" w:hRule="atLeast"/>
          <w:tblHeader w:val="0"/>
        </w:trPr>
        <w:tc>
          <w:tcPr>
            <w:tcMar>
              <w:top w:w="40.0" w:type="dxa"/>
              <w:left w:w="40.0" w:type="dxa"/>
              <w:bottom w:w="40.0" w:type="dxa"/>
              <w:right w:w="40.0" w:type="dxa"/>
            </w:tcMar>
            <w:vAlign w:val="center"/>
          </w:tcPr>
          <w:p w:rsidR="00000000" w:rsidDel="00000000" w:rsidP="00000000" w:rsidRDefault="00000000" w:rsidRPr="00000000" w14:paraId="000002E2">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S8</w:t>
            </w:r>
          </w:p>
        </w:tc>
        <w:tc>
          <w:tcPr>
            <w:tcMar>
              <w:top w:w="40.0" w:type="dxa"/>
              <w:left w:w="40.0" w:type="dxa"/>
              <w:bottom w:w="40.0" w:type="dxa"/>
              <w:right w:w="40.0" w:type="dxa"/>
            </w:tcMar>
            <w:vAlign w:val="center"/>
          </w:tcPr>
          <w:p w:rsidR="00000000" w:rsidDel="00000000" w:rsidP="00000000" w:rsidRDefault="00000000" w:rsidRPr="00000000" w14:paraId="000002E3">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3.88715</w:t>
            </w:r>
          </w:p>
        </w:tc>
        <w:tc>
          <w:tcPr>
            <w:tcMar>
              <w:top w:w="40.0" w:type="dxa"/>
              <w:left w:w="40.0" w:type="dxa"/>
              <w:bottom w:w="40.0" w:type="dxa"/>
              <w:right w:w="40.0" w:type="dxa"/>
            </w:tcMar>
            <w:vAlign w:val="center"/>
          </w:tcPr>
          <w:p w:rsidR="00000000" w:rsidDel="00000000" w:rsidP="00000000" w:rsidRDefault="00000000" w:rsidRPr="00000000" w14:paraId="000002E4">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3.37203</w:t>
            </w:r>
          </w:p>
        </w:tc>
        <w:tc>
          <w:tcPr>
            <w:tcMar>
              <w:top w:w="40.0" w:type="dxa"/>
              <w:left w:w="40.0" w:type="dxa"/>
              <w:bottom w:w="40.0" w:type="dxa"/>
              <w:right w:w="40.0" w:type="dxa"/>
            </w:tcMar>
            <w:vAlign w:val="center"/>
          </w:tcPr>
          <w:p w:rsidR="00000000" w:rsidDel="00000000" w:rsidP="00000000" w:rsidRDefault="00000000" w:rsidRPr="00000000" w14:paraId="000002E5">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7.25918</w:t>
            </w:r>
          </w:p>
        </w:tc>
        <w:tc>
          <w:tcPr>
            <w:tcMar>
              <w:top w:w="40.0" w:type="dxa"/>
              <w:left w:w="40.0" w:type="dxa"/>
              <w:bottom w:w="40.0" w:type="dxa"/>
              <w:right w:w="40.0" w:type="dxa"/>
            </w:tcMar>
            <w:vAlign w:val="center"/>
          </w:tcPr>
          <w:p w:rsidR="00000000" w:rsidDel="00000000" w:rsidP="00000000" w:rsidRDefault="00000000" w:rsidRPr="00000000" w14:paraId="000002E6">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0.51512</w:t>
            </w:r>
          </w:p>
        </w:tc>
        <w:tc>
          <w:tcPr>
            <w:tcMar>
              <w:top w:w="40.0" w:type="dxa"/>
              <w:left w:w="40.0" w:type="dxa"/>
              <w:bottom w:w="40.0" w:type="dxa"/>
              <w:right w:w="40.0" w:type="dxa"/>
            </w:tcMar>
            <w:vAlign w:val="center"/>
          </w:tcPr>
          <w:p w:rsidR="00000000" w:rsidDel="00000000" w:rsidP="00000000" w:rsidRDefault="00000000" w:rsidRPr="00000000" w14:paraId="000002E7">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Cause</w:t>
            </w:r>
          </w:p>
        </w:tc>
      </w:tr>
    </w:tbl>
    <w:p w:rsidR="00000000" w:rsidDel="00000000" w:rsidP="00000000" w:rsidRDefault="00000000" w:rsidRPr="00000000" w14:paraId="000002E8">
      <w:pPr>
        <w:spacing w:after="12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Results and discussion</w:t>
      </w:r>
    </w:p>
    <w:p w:rsidR="00000000" w:rsidDel="00000000" w:rsidP="00000000" w:rsidRDefault="00000000" w:rsidRPr="00000000" w14:paraId="000002EB">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4.1. Results </w:t>
      </w:r>
    </w:p>
    <w:p w:rsidR="00000000" w:rsidDel="00000000" w:rsidP="00000000" w:rsidRDefault="00000000" w:rsidRPr="00000000" w14:paraId="000002EC">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4.1.1. Causal analysis: identifying drivers</w:t>
      </w:r>
    </w:p>
    <w:p w:rsidR="00000000" w:rsidDel="00000000" w:rsidP="00000000" w:rsidRDefault="00000000" w:rsidRPr="00000000" w14:paraId="000002E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Decision-Making Trial and Evaluation Laboratory (DEMATEL) method was applied to identify the complex interdependencies among the eight selection criteria, classifying them into net cause (drivers) and net effect (outcomes) groups. The prominence score (R+C), which measures overall centrality and importance, revealed that Transportation time (S3) (8.078) and Transportation cost (S1) (7.739) are the most pivotal factors in the decision context, followed by Cargo characteristics (S8) (7.259). These high prominence values confirm that these criteria are central to the overall system, exerting or receiving strong influence.</w:t>
      </w:r>
    </w:p>
    <w:p w:rsidR="00000000" w:rsidDel="00000000" w:rsidP="00000000" w:rsidRDefault="00000000" w:rsidRPr="00000000" w14:paraId="000002EE">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Decision-Making Trial and Evaluation Laboratory (DEMATEL) technique has identified the various interconnections between the eight selection criteria, indicating which are drivers of the system (net causes) and which are outcomes of the system (net effects). The two selection criteria that carried the highest prominence scores (R+C) for being the most influential in terms of determining whether each selection criterion would be included in the final decision were Transportation time (S3) with a score of 8.078, and Transportation cost (S1) with a score of 7.739. Cargo characteristics (S8) had the next highest prominence score at 7.259. In summary, these three selection criteria were determined to be the most important within the decision-making framework and also demonstrated the strongest level of interdependence.</w:t>
      </w:r>
    </w:p>
    <w:p w:rsidR="00000000" w:rsidDel="00000000" w:rsidP="00000000" w:rsidRDefault="00000000" w:rsidRPr="00000000" w14:paraId="000002E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purpose of the causal analysis was to identify the net drivers (Cause group), defined as criteria with a positive R-C score, as they influence others more than they are influenced. Six criteria were classified into this Cause group: Transportation cost (S1), Wastage cost (S2), Transportation time (S3), Customs clearance time (S4), Freight frequency (S5), and Cargo characteristics (S8). This causal mapping was essential as it validated the inclusion of operational factors (S2, S4, and S5) that received misleading zero weights in the Fuzzy AHP process. DEMATEL demonstrated that these are crucial upstream drivers that materially influence the higher-weighted FAHP criteria.</w:t>
      </w:r>
    </w:p>
    <w:p w:rsidR="00000000" w:rsidDel="00000000" w:rsidP="00000000" w:rsidRDefault="00000000" w:rsidRPr="00000000" w14:paraId="000002F0">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Conversely, the remaining two criteria were classified into the Effect group, indicating they are significantly affected by the other criteria. This group includes Load capacity (S6) and, most significantly, CO₂ emissions (S7). The strong negative R-C score for S7 (-1.02889) makes it evident that environmental performance is primarily an outcome determined by changes in the operational drivers, such as cost and time. This causal clarity provides crucial strategic guidance, suggesting that policy interventions targeting operational factors (like reducing customs delays or improving frequency) will cascade into measurable improvements in the system’s environmental performance.</w:t>
      </w:r>
    </w:p>
    <w:p w:rsidR="00000000" w:rsidDel="00000000" w:rsidP="00000000" w:rsidRDefault="00000000" w:rsidRPr="00000000" w14:paraId="000002F1">
      <w:pPr>
        <w:spacing w:after="120" w:line="288" w:lineRule="auto"/>
        <w:ind w:firstLine="426"/>
        <w:jc w:val="both"/>
        <w:rPr>
          <w:rFonts w:ascii="Times New Roman" w:cs="Times New Roman" w:eastAsia="Times New Roman" w:hAnsi="Times New Roman"/>
          <w:sz w:val="24"/>
          <w:szCs w:val="24"/>
        </w:rPr>
      </w:pPr>
      <w:sdt>
        <w:sdtPr>
          <w:id w:val="-131578534"/>
          <w:tag w:val="goog_rdk_1"/>
        </w:sdtPr>
        <w:sdtContent>
          <w:r w:rsidDel="00000000" w:rsidR="00000000" w:rsidRPr="00000000">
            <w:rPr>
              <w:rFonts w:ascii="Caudex" w:cs="Caudex" w:eastAsia="Caudex" w:hAnsi="Caudex"/>
              <w:sz w:val="24"/>
              <w:szCs w:val="24"/>
              <w:rtl w:val="0"/>
            </w:rPr>
            <w:t xml:space="preserve">Additionally, the FAHP procedure assigned S7 (CO₂ emissions) a substantial but not dominant direct weight (0.266), and because DEMATEL classified S7 as an effect criterion, we performed an explicit sensitivity analysis to test the reviewer’s concern that the hybrid procedure might favour cheap/fast modes rather than sustainable ones. Using the paper’s reported emission intensities (sea ≈ 19 gCO₂/t-km; rail ≈ 26 gCO₂/t-km) and the mode performance data described in Section 3, we reallocated decision weight mass so that S7 took successively larger shares (0.30, 0.35, 0.40, 0.45, 0.50, 0.60) while preserving the relative proportions among the original non-zero FAHP weights. Under these tests sea freight remained the top-ranked mode in every scenario, because it already combines the lowest unit emissions with large load capacity and the largest cost advantage. However, in an alternate, plausible counterfactual where rail is modeled as cleaner than sea (e.g., fully electrified rail or a particular life-cycle accounting choice), the model shows a clear tipping point: when S7 is raised above ≈ 48.6% of the total weight, rail overtakes sea as the preferred option. The sensitivity analysis (Appendix 1) shows (i) that the current results are robust to stronger emission prioritization given the report’s emission data, and (ii) that the model will respond to either a changed emissions ranking or to decision-makers who give emissions nearly half (or more) of their total priority.</w:t>
          </w:r>
        </w:sdtContent>
      </w:sdt>
    </w:p>
    <w:p w:rsidR="00000000" w:rsidDel="00000000" w:rsidP="00000000" w:rsidRDefault="00000000" w:rsidRPr="00000000" w14:paraId="000002F2">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4.1.2. Transportation mode performance ranking</w:t>
      </w:r>
    </w:p>
    <w:p w:rsidR="00000000" w:rsidDel="00000000" w:rsidP="00000000" w:rsidRDefault="00000000" w:rsidRPr="00000000" w14:paraId="000002F3">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results of the Fuzzy AHP–DEMATEL analysis allow a ranking of transport modes for freight between Ho Chi Minh City and Hangzhou. Among the four modes analyzed (road, rail, sea, and air), sea freight is the highest-ranked mode, followed by rail, road, and lastly air. The ranking above shows the trade-off between operational concerns, such as cost and capacity, and the sustainability aspects, such as emissions and energy consumption.</w:t>
      </w:r>
    </w:p>
    <w:p w:rsidR="00000000" w:rsidDel="00000000" w:rsidP="00000000" w:rsidRDefault="00000000" w:rsidRPr="00000000" w14:paraId="000002F4">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 freight scored highest overall in the assessment. Its strength lies in its performance on the most heavily weighted indicators: cost, cargo characteristics, and emission issues. While its delivery frequency and delivery time scored lower when compared with other transportation modes, the trade-off is acceptable for general cargo, where high volumes at low cost are prioritized. Cargo ships emit nearly 19g CO2/tonne-km (Climate Action Accelerator, 2024), while freight trains emit around 26g CO2/ tonne-km (Office of Rail and Road, 2024). Emission estimates show that transporting one tonne of cargo over the 3,000 km route by sea generates approximately 57kg CO2, compared with about 70.2kg CO2 by rail. This means sea freight produces fewer emissions than rail over the same distance, in addition to its significantly higher load capacity and lower unit cost. With fewer transshipments required (only one transfer from mother vessel to barge, compared with two changes for rail), sea freight provides a more reliable and efficient option for large-volume shipments. The comparison reflects that sea freight attains the best compromise between operational effectiveness and sustainability, making it the most suitable transport mode for the studied route.</w:t>
      </w:r>
    </w:p>
    <w:p w:rsidR="00000000" w:rsidDel="00000000" w:rsidP="00000000" w:rsidRDefault="00000000" w:rsidRPr="00000000" w14:paraId="000002F5">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Air freight received the lowest overall score, ranking 4th. While it is unmatched in terms of transportation time, its performance in almost all other criteria was weak, particularly in cost, cargo capacity, and suitability for general cargo. Road transport was placed 3rd. It achieved a high ranking in terms of frequency and accessibility, which explains its importance in regional movements. However, its weaker results in cost, delivery time (due to congestion), and environmental criteria lowered its overall position. Rail transport secured the 2nd in most categories, performing well in cost and emissions. Nonetheless, its lower score in flexibility and service frequency, along with the need for multiple transshipments, limited its competitiveness against sea freight.</w:t>
      </w:r>
    </w:p>
    <w:p w:rsidR="00000000" w:rsidDel="00000000" w:rsidP="00000000" w:rsidRDefault="00000000" w:rsidRPr="00000000" w14:paraId="000002F6">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4.2. Discussion: sea transport as the optimal sustainable mode </w:t>
      </w:r>
    </w:p>
    <w:p w:rsidR="00000000" w:rsidDel="00000000" w:rsidP="00000000" w:rsidRDefault="00000000" w:rsidRPr="00000000" w14:paraId="000002F7">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Export begins at the shipper’s premises (packing, labeling, stuffing) and moves to Cat Lai for export customs clearance and vessel loading. The route is a mostly direct ocean leg of about 1,620 nautical miles (around 3,000 km) with an ocean transit of roughly 5–10 days depending on weather and clearance times. A direct, no-call service offers short transit times and fewer handling events, thereby reducing the risk of damage and transshipment delays, making it attractive for time-sensitive cargo. However, the short transit interval also makes schedule reliability more apparent: a single missed window, including weather, port congestion, or slow customs, can rapidly result in a multi-day delay relative to customer expectations. The cost for a single TEU ranges from US$500 to US$ 900; combined with transit time, it drives inventory and routing choices for shippers. A cheaper but slower or multi-stop alternative might still be preferable for low-value or non-urgent cargo.</w:t>
      </w:r>
    </w:p>
    <w:p w:rsidR="00000000" w:rsidDel="00000000" w:rsidP="00000000" w:rsidRDefault="00000000" w:rsidRPr="00000000" w14:paraId="000002F8">
      <w:pPr>
        <w:spacing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arrival, containers undergo import clearance procedures at Yangshan Deep-Water Port before being unloaded and released for onward transport. Yangshan’s highly automated terminal infrastructure improves operational efficiency by accelerating container handling and reducing vessel turnaround time. Importantly, these operational improvements are incorporated into the decision model through the CO₂ emissions criterion (S7). Automation and optimized yard operations reduce energy consumption and vessel idling time, which in turn lowers emissions associated with port handling activities. According to industry reports, Yangshan’s automated operations reduce port-related emissions by approximately 10% (Hz-containers, 2024). In the model, this reduction is reflected by lowering the emission intensity associated with the sea transport option in the S7 evaluation, thereby improving its environmental performance relative to other modes. After clearance, containers destined for inland locations such as Chongxian inland port are transferred onto barges. The use of barges further reduces truck-kilometres and associated road emissions, reinforcing the relatively favorable CO₂ performance of the sea-based route within the model’s environmental assessment.</w:t>
      </w:r>
    </w:p>
    <w:p w:rsidR="00000000" w:rsidDel="00000000" w:rsidP="00000000" w:rsidRDefault="00000000" w:rsidRPr="00000000" w14:paraId="000002F9">
      <w:pPr>
        <w:spacing w:line="288" w:lineRule="auto"/>
        <w:ind w:firstLine="42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A">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Conclusion</w:t>
      </w:r>
    </w:p>
    <w:p w:rsidR="00000000" w:rsidDel="00000000" w:rsidP="00000000" w:rsidRDefault="00000000" w:rsidRPr="00000000" w14:paraId="000002FB">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Reflections on this study’s results and their comparison with prior empirical works confirm that both economic and environmental criteria are decisive in selecting an eco-friendly delivery mode. The Fuzzy AHP results highlighted transportation cost (0.467) and CO₂ emissions (0.266) as the most influential factors, with cargo characteristics also playing a meaningful role (0.167); whereas, transport time and other criteria showed limited direct weight.  For transport mode ranking, the research ranked sea transport first, followed by rail, road, and air. Sea transport was ranked as the most balanced and sustainable option, supported by its low unit emissions and high load factor, despite longer transit time and less frequent service. Rail transport was second and offered quicker delivery than sea, but with slightly higher emissions and less suitability for cargo. Road transport, with the highest frequency, was disadvantaged by high cost, congestion, delays, and a high carbon footprint. Air transport, though unmatched in terms of speed, was the least sustainable form of transport because of very high emissions and low flexibility in carrying general cargo.</w:t>
      </w:r>
    </w:p>
    <w:p w:rsidR="00000000" w:rsidDel="00000000" w:rsidP="00000000" w:rsidRDefault="00000000" w:rsidRPr="00000000" w14:paraId="000002FC">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these findings, policymakers should invest strategically in maritime and intermodal infrastructure. Modernizing ports, increasing terminal capacity and automation, and streamlining customs procedures will reduce the long port dwell times and clearance delays that currently blunt the environmental advantages of sea freight. At the same time, governments should design targeted green logistics policies, including subsidies or tax breaks for low-emission ships and rail services, grants for on-terminal electrification and shore power, and preferential slots for greener operators. Furthermore, following the analysis of the case study of the HCM-Hangzhou corridor, improving cross-border coordination with Chinese authorities in specific and with other countries (pre-clearance, harmonized documentation, IT data-sharing) is essential to convert low unit emissions of sea and rail into practicable, timely options for exporters.</w:t>
      </w:r>
    </w:p>
    <w:p w:rsidR="00000000" w:rsidDel="00000000" w:rsidP="00000000" w:rsidRDefault="00000000" w:rsidRPr="00000000" w14:paraId="000002F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standpoint of enterprises operating along the Ho Chi Minh City–Hangzhou logistics corridor, for large-volume and low-value shipments, it is recommended to prioritize sea freight to capture the clear cost and CO₂ advantages. Additionally, firms should consider rail as a complementary option for medium-volume flows where schedules and terminals are reliable while balancing speed and sustainability. Simultaneously, adopting digital planning and real-time tracking systems such as TMS, EDI with customs, and visibility dashboards to help carriers manage transshipment windows and anticipate delays. Finally, embedding sustainability metrics and reporting into commercial KPIs is essential for customers and regulators to track verified progress. This both reduces risk and creates market differentiation as green procurement becomes more common in trade between Vietnam and China.</w:t>
      </w:r>
    </w:p>
    <w:p w:rsidR="00000000" w:rsidDel="00000000" w:rsidP="00000000" w:rsidRDefault="00000000" w:rsidRPr="00000000" w14:paraId="000002FE">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F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w:t>
      </w:r>
    </w:p>
    <w:p w:rsidR="00000000" w:rsidDel="00000000" w:rsidP="00000000" w:rsidRDefault="00000000" w:rsidRPr="00000000" w14:paraId="000003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10: Sensitivity Analysis (raise S7 and rescale S1, S3, S8 proportionally)</w:t>
      </w:r>
    </w:p>
    <w:p w:rsidR="00000000" w:rsidDel="00000000" w:rsidP="00000000" w:rsidRDefault="00000000" w:rsidRPr="00000000" w14:paraId="00000301">
      <w:pPr>
        <w:spacing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Compiled by Authors (2025)</w:t>
      </w:r>
    </w:p>
    <w:tbl>
      <w:tblPr>
        <w:tblStyle w:val="Table11"/>
        <w:tblW w:w="9029.0" w:type="dxa"/>
        <w:jc w:val="left"/>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400"/>
      </w:tblPr>
      <w:tblGrid>
        <w:gridCol w:w="1985"/>
        <w:gridCol w:w="1276"/>
        <w:gridCol w:w="1275"/>
        <w:gridCol w:w="1418"/>
        <w:gridCol w:w="1276"/>
        <w:gridCol w:w="1799"/>
        <w:tblGridChange w:id="0">
          <w:tblGrid>
            <w:gridCol w:w="1985"/>
            <w:gridCol w:w="1276"/>
            <w:gridCol w:w="1275"/>
            <w:gridCol w:w="1418"/>
            <w:gridCol w:w="1276"/>
            <w:gridCol w:w="1799"/>
          </w:tblGrid>
        </w:tblGridChange>
      </w:tblGrid>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30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Target S7 weight</w:t>
            </w:r>
          </w:p>
        </w:tc>
        <w:tc>
          <w:tcPr>
            <w:tcBorders>
              <w:top w:color="000000" w:space="0" w:sz="12" w:val="single"/>
              <w:bottom w:color="000000" w:space="0" w:sz="12" w:val="single"/>
            </w:tcBorders>
          </w:tcPr>
          <w:p w:rsidR="00000000" w:rsidDel="00000000" w:rsidP="00000000" w:rsidRDefault="00000000" w:rsidRPr="00000000" w14:paraId="0000030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 score</w:t>
            </w:r>
          </w:p>
        </w:tc>
        <w:tc>
          <w:tcPr>
            <w:tcBorders>
              <w:top w:color="000000" w:space="0" w:sz="12" w:val="single"/>
              <w:bottom w:color="000000" w:space="0" w:sz="12" w:val="single"/>
            </w:tcBorders>
          </w:tcPr>
          <w:p w:rsidR="00000000" w:rsidDel="00000000" w:rsidP="00000000" w:rsidRDefault="00000000" w:rsidRPr="00000000" w14:paraId="00000304">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Rail score</w:t>
            </w:r>
          </w:p>
        </w:tc>
        <w:tc>
          <w:tcPr>
            <w:tcBorders>
              <w:top w:color="000000" w:space="0" w:sz="12" w:val="single"/>
              <w:bottom w:color="000000" w:space="0" w:sz="12" w:val="single"/>
            </w:tcBorders>
          </w:tcPr>
          <w:p w:rsidR="00000000" w:rsidDel="00000000" w:rsidP="00000000" w:rsidRDefault="00000000" w:rsidRPr="00000000" w14:paraId="00000305">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Road score</w:t>
            </w:r>
          </w:p>
        </w:tc>
        <w:tc>
          <w:tcPr>
            <w:tcBorders>
              <w:top w:color="000000" w:space="0" w:sz="12" w:val="single"/>
              <w:bottom w:color="000000" w:space="0" w:sz="12" w:val="single"/>
            </w:tcBorders>
          </w:tcPr>
          <w:p w:rsidR="00000000" w:rsidDel="00000000" w:rsidP="00000000" w:rsidRDefault="00000000" w:rsidRPr="00000000" w14:paraId="00000306">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Air score</w:t>
            </w:r>
          </w:p>
        </w:tc>
        <w:tc>
          <w:tcPr>
            <w:tcBorders>
              <w:top w:color="000000" w:space="0" w:sz="12" w:val="single"/>
              <w:bottom w:color="000000" w:space="0" w:sz="12" w:val="single"/>
            </w:tcBorders>
          </w:tcPr>
          <w:p w:rsidR="00000000" w:rsidDel="00000000" w:rsidP="00000000" w:rsidRDefault="00000000" w:rsidRPr="00000000" w14:paraId="00000307">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Top-ranked mode</w:t>
            </w:r>
          </w:p>
        </w:tc>
      </w:tr>
      <w:tr>
        <w:trPr>
          <w:cantSplit w:val="0"/>
          <w:tblHeader w:val="0"/>
        </w:trPr>
        <w:tc>
          <w:tcPr>
            <w:tcBorders>
              <w:top w:color="000000" w:space="0" w:sz="12" w:val="single"/>
            </w:tcBorders>
          </w:tcPr>
          <w:p w:rsidR="00000000" w:rsidDel="00000000" w:rsidP="00000000" w:rsidRDefault="00000000" w:rsidRPr="00000000" w14:paraId="0000030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0.266 (baseline)</w:t>
            </w:r>
          </w:p>
        </w:tc>
        <w:tc>
          <w:tcPr>
            <w:tcBorders>
              <w:top w:color="000000" w:space="0" w:sz="12" w:val="single"/>
            </w:tcBorders>
          </w:tcPr>
          <w:p w:rsidR="00000000" w:rsidDel="00000000" w:rsidP="00000000" w:rsidRDefault="00000000" w:rsidRPr="00000000" w14:paraId="0000030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0.8167</w:t>
            </w:r>
          </w:p>
        </w:tc>
        <w:tc>
          <w:tcPr>
            <w:tcBorders>
              <w:top w:color="000000" w:space="0" w:sz="12" w:val="single"/>
            </w:tcBorders>
          </w:tcPr>
          <w:p w:rsidR="00000000" w:rsidDel="00000000" w:rsidP="00000000" w:rsidRDefault="00000000" w:rsidRPr="00000000" w14:paraId="0000030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0.6866</w:t>
            </w:r>
          </w:p>
        </w:tc>
        <w:tc>
          <w:tcPr>
            <w:tcBorders>
              <w:top w:color="000000" w:space="0" w:sz="12" w:val="single"/>
            </w:tcBorders>
          </w:tcPr>
          <w:p w:rsidR="00000000" w:rsidDel="00000000" w:rsidP="00000000" w:rsidRDefault="00000000" w:rsidRPr="00000000" w14:paraId="0000030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0.4601</w:t>
            </w:r>
          </w:p>
        </w:tc>
        <w:tc>
          <w:tcPr>
            <w:tcBorders>
              <w:top w:color="000000" w:space="0" w:sz="12" w:val="single"/>
            </w:tcBorders>
          </w:tcPr>
          <w:p w:rsidR="00000000" w:rsidDel="00000000" w:rsidP="00000000" w:rsidRDefault="00000000" w:rsidRPr="00000000" w14:paraId="0000030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0.1934</w:t>
            </w:r>
          </w:p>
        </w:tc>
        <w:tc>
          <w:tcPr>
            <w:tcBorders>
              <w:top w:color="000000" w:space="0" w:sz="12" w:val="single"/>
            </w:tcBorders>
          </w:tcPr>
          <w:p w:rsidR="00000000" w:rsidDel="00000000" w:rsidP="00000000" w:rsidRDefault="00000000" w:rsidRPr="00000000" w14:paraId="0000030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r>
        <w:trPr>
          <w:cantSplit w:val="0"/>
          <w:tblHeader w:val="0"/>
        </w:trPr>
        <w:tc>
          <w:tcPr/>
          <w:p w:rsidR="00000000" w:rsidDel="00000000" w:rsidP="00000000" w:rsidRDefault="00000000" w:rsidRPr="00000000" w14:paraId="000003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p w:rsidR="00000000" w:rsidDel="00000000" w:rsidP="00000000" w:rsidRDefault="00000000" w:rsidRPr="00000000" w14:paraId="0000030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0.8182</w:t>
            </w:r>
          </w:p>
        </w:tc>
        <w:tc>
          <w:tcPr/>
          <w:p w:rsidR="00000000" w:rsidDel="00000000" w:rsidP="00000000" w:rsidRDefault="00000000" w:rsidRPr="00000000" w14:paraId="0000031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0.6895</w:t>
            </w:r>
          </w:p>
        </w:tc>
        <w:tc>
          <w:tcPr/>
          <w:p w:rsidR="00000000" w:rsidDel="00000000" w:rsidP="00000000" w:rsidRDefault="00000000" w:rsidRPr="00000000" w14:paraId="0000031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0.4573</w:t>
            </w:r>
          </w:p>
        </w:tc>
        <w:tc>
          <w:tcPr/>
          <w:p w:rsidR="00000000" w:rsidDel="00000000" w:rsidP="00000000" w:rsidRDefault="00000000" w:rsidRPr="00000000" w14:paraId="0000031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0.1868</w:t>
            </w:r>
          </w:p>
        </w:tc>
        <w:tc>
          <w:tcPr/>
          <w:p w:rsidR="00000000" w:rsidDel="00000000" w:rsidP="00000000" w:rsidRDefault="00000000" w:rsidRPr="00000000" w14:paraId="0000031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r>
        <w:trPr>
          <w:cantSplit w:val="0"/>
          <w:tblHeader w:val="0"/>
        </w:trPr>
        <w:tc>
          <w:tcPr/>
          <w:p w:rsidR="00000000" w:rsidDel="00000000" w:rsidP="00000000" w:rsidRDefault="00000000" w:rsidRPr="00000000" w14:paraId="0000031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w:t>
            </w:r>
          </w:p>
        </w:tc>
        <w:tc>
          <w:tcPr/>
          <w:p w:rsidR="00000000" w:rsidDel="00000000" w:rsidP="00000000" w:rsidRDefault="00000000" w:rsidRPr="00000000" w14:paraId="0000031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0.8205</w:t>
            </w:r>
          </w:p>
        </w:tc>
        <w:tc>
          <w:tcPr/>
          <w:p w:rsidR="00000000" w:rsidDel="00000000" w:rsidP="00000000" w:rsidRDefault="00000000" w:rsidRPr="00000000" w14:paraId="0000031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0.6939</w:t>
            </w:r>
          </w:p>
        </w:tc>
        <w:tc>
          <w:tcPr/>
          <w:p w:rsidR="00000000" w:rsidDel="00000000" w:rsidP="00000000" w:rsidRDefault="00000000" w:rsidRPr="00000000" w14:paraId="0000031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0.4532</w:t>
            </w:r>
          </w:p>
        </w:tc>
        <w:tc>
          <w:tcPr/>
          <w:p w:rsidR="00000000" w:rsidDel="00000000" w:rsidP="00000000" w:rsidRDefault="00000000" w:rsidRPr="00000000" w14:paraId="0000031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0.1770</w:t>
            </w:r>
          </w:p>
        </w:tc>
        <w:tc>
          <w:tcPr/>
          <w:p w:rsidR="00000000" w:rsidDel="00000000" w:rsidP="00000000" w:rsidRDefault="00000000" w:rsidRPr="00000000" w14:paraId="0000031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r>
        <w:trPr>
          <w:cantSplit w:val="0"/>
          <w:tblHeader w:val="0"/>
        </w:trPr>
        <w:tc>
          <w:tcPr/>
          <w:p w:rsidR="00000000" w:rsidDel="00000000" w:rsidP="00000000" w:rsidRDefault="00000000" w:rsidRPr="00000000" w14:paraId="0000031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w:t>
            </w:r>
          </w:p>
        </w:tc>
        <w:tc>
          <w:tcPr/>
          <w:p w:rsidR="00000000" w:rsidDel="00000000" w:rsidP="00000000" w:rsidRDefault="00000000" w:rsidRPr="00000000" w14:paraId="0000031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0.8228</w:t>
            </w:r>
          </w:p>
        </w:tc>
        <w:tc>
          <w:tcPr/>
          <w:p w:rsidR="00000000" w:rsidDel="00000000" w:rsidP="00000000" w:rsidRDefault="00000000" w:rsidRPr="00000000" w14:paraId="0000031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0.6982</w:t>
            </w:r>
          </w:p>
        </w:tc>
        <w:tc>
          <w:tcPr/>
          <w:p w:rsidR="00000000" w:rsidDel="00000000" w:rsidP="00000000" w:rsidRDefault="00000000" w:rsidRPr="00000000" w14:paraId="0000031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0.4491</w:t>
            </w:r>
          </w:p>
        </w:tc>
        <w:tc>
          <w:tcPr/>
          <w:p w:rsidR="00000000" w:rsidDel="00000000" w:rsidP="00000000" w:rsidRDefault="00000000" w:rsidRPr="00000000" w14:paraId="0000031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0.1672</w:t>
            </w:r>
          </w:p>
        </w:tc>
        <w:tc>
          <w:tcPr/>
          <w:p w:rsidR="00000000" w:rsidDel="00000000" w:rsidP="00000000" w:rsidRDefault="00000000" w:rsidRPr="00000000" w14:paraId="0000031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r>
        <w:trPr>
          <w:cantSplit w:val="0"/>
          <w:tblHeader w:val="0"/>
        </w:trPr>
        <w:tc>
          <w:tcPr/>
          <w:p w:rsidR="00000000" w:rsidDel="00000000" w:rsidP="00000000" w:rsidRDefault="00000000" w:rsidRPr="00000000" w14:paraId="0000032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w:t>
            </w:r>
          </w:p>
        </w:tc>
        <w:tc>
          <w:tcPr/>
          <w:p w:rsidR="00000000" w:rsidDel="00000000" w:rsidP="00000000" w:rsidRDefault="00000000" w:rsidRPr="00000000" w14:paraId="0000032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0.8250</w:t>
            </w:r>
          </w:p>
        </w:tc>
        <w:tc>
          <w:tcPr/>
          <w:p w:rsidR="00000000" w:rsidDel="00000000" w:rsidP="00000000" w:rsidRDefault="00000000" w:rsidRPr="00000000" w14:paraId="0000032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0.7025</w:t>
            </w:r>
          </w:p>
        </w:tc>
        <w:tc>
          <w:tcPr/>
          <w:p w:rsidR="00000000" w:rsidDel="00000000" w:rsidP="00000000" w:rsidRDefault="00000000" w:rsidRPr="00000000" w14:paraId="0000032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0.4450</w:t>
            </w:r>
          </w:p>
        </w:tc>
        <w:tc>
          <w:tcPr/>
          <w:p w:rsidR="00000000" w:rsidDel="00000000" w:rsidP="00000000" w:rsidRDefault="00000000" w:rsidRPr="00000000" w14:paraId="0000032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0.1575</w:t>
            </w:r>
          </w:p>
        </w:tc>
        <w:tc>
          <w:tcPr/>
          <w:p w:rsidR="00000000" w:rsidDel="00000000" w:rsidP="00000000" w:rsidRDefault="00000000" w:rsidRPr="00000000" w14:paraId="0000032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r>
        <w:trPr>
          <w:cantSplit w:val="0"/>
          <w:tblHeader w:val="0"/>
        </w:trPr>
        <w:tc>
          <w:tcPr/>
          <w:p w:rsidR="00000000" w:rsidDel="00000000" w:rsidP="00000000" w:rsidRDefault="00000000" w:rsidRPr="00000000" w14:paraId="0000032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w:t>
            </w:r>
          </w:p>
        </w:tc>
        <w:tc>
          <w:tcPr/>
          <w:p w:rsidR="00000000" w:rsidDel="00000000" w:rsidP="00000000" w:rsidRDefault="00000000" w:rsidRPr="00000000" w14:paraId="0000032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0.8273</w:t>
            </w:r>
          </w:p>
        </w:tc>
        <w:tc>
          <w:tcPr/>
          <w:p w:rsidR="00000000" w:rsidDel="00000000" w:rsidP="00000000" w:rsidRDefault="00000000" w:rsidRPr="00000000" w14:paraId="000003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0.7068</w:t>
            </w:r>
          </w:p>
        </w:tc>
        <w:tc>
          <w:tcPr/>
          <w:p w:rsidR="00000000" w:rsidDel="00000000" w:rsidP="00000000" w:rsidRDefault="00000000" w:rsidRPr="00000000" w14:paraId="0000032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0.4409</w:t>
            </w:r>
          </w:p>
        </w:tc>
        <w:tc>
          <w:tcPr/>
          <w:p w:rsidR="00000000" w:rsidDel="00000000" w:rsidP="00000000" w:rsidRDefault="00000000" w:rsidRPr="00000000" w14:paraId="0000032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0.1477</w:t>
            </w:r>
          </w:p>
        </w:tc>
        <w:tc>
          <w:tcPr/>
          <w:p w:rsidR="00000000" w:rsidDel="00000000" w:rsidP="00000000" w:rsidRDefault="00000000" w:rsidRPr="00000000" w14:paraId="0000032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r>
        <w:trPr>
          <w:cantSplit w:val="0"/>
          <w:tblHeader w:val="0"/>
        </w:trPr>
        <w:tc>
          <w:tcPr/>
          <w:p w:rsidR="00000000" w:rsidDel="00000000" w:rsidP="00000000" w:rsidRDefault="00000000" w:rsidRPr="00000000" w14:paraId="0000032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w:t>
            </w:r>
          </w:p>
        </w:tc>
        <w:tc>
          <w:tcPr/>
          <w:p w:rsidR="00000000" w:rsidDel="00000000" w:rsidP="00000000" w:rsidRDefault="00000000" w:rsidRPr="00000000" w14:paraId="0000032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0.8319</w:t>
            </w:r>
          </w:p>
        </w:tc>
        <w:tc>
          <w:tcPr/>
          <w:p w:rsidR="00000000" w:rsidDel="00000000" w:rsidP="00000000" w:rsidRDefault="00000000" w:rsidRPr="00000000" w14:paraId="0000032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0.7154</w:t>
            </w:r>
          </w:p>
        </w:tc>
        <w:tc>
          <w:tcPr/>
          <w:p w:rsidR="00000000" w:rsidDel="00000000" w:rsidP="00000000" w:rsidRDefault="00000000" w:rsidRPr="00000000" w14:paraId="0000032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0.4328</w:t>
            </w:r>
          </w:p>
        </w:tc>
        <w:tc>
          <w:tcPr/>
          <w:p w:rsidR="00000000" w:rsidDel="00000000" w:rsidP="00000000" w:rsidRDefault="00000000" w:rsidRPr="00000000" w14:paraId="0000033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0.1281</w:t>
            </w:r>
          </w:p>
        </w:tc>
        <w:tc>
          <w:tcPr/>
          <w:p w:rsidR="00000000" w:rsidDel="00000000" w:rsidP="00000000" w:rsidRDefault="00000000" w:rsidRPr="00000000" w14:paraId="0000033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w:t>
            </w:r>
          </w:p>
        </w:tc>
      </w:tr>
    </w:tbl>
    <w:p w:rsidR="00000000" w:rsidDel="00000000" w:rsidP="00000000" w:rsidRDefault="00000000" w:rsidRPr="00000000" w14:paraId="0000033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333">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Arencibia, A. I., Feo-Valero, M., García-Menéndez, L., &amp; Román, C. (2015). “Modelling mode choice for freight transport using advanced choice experiments”. </w:t>
      </w:r>
      <w:r w:rsidDel="00000000" w:rsidR="00000000" w:rsidRPr="00000000">
        <w:rPr>
          <w:rFonts w:ascii="Times New Roman" w:cs="Times New Roman" w:eastAsia="Times New Roman" w:hAnsi="Times New Roman"/>
          <w:i w:val="1"/>
          <w:iCs w:val="1"/>
          <w:sz w:val="24"/>
          <w:szCs w:val="24"/>
          <w:rtl w:val="0"/>
        </w:rPr>
        <w:t xml:space="preserve">Transportation Research Part A: Policy and Practice</w:t>
      </w:r>
      <w:r w:rsidDel="00000000" w:rsidR="00000000" w:rsidRPr="00000000">
        <w:rPr>
          <w:rFonts w:ascii="Times New Roman" w:cs="Times New Roman" w:eastAsia="Times New Roman" w:hAnsi="Times New Roman"/>
          <w:sz w:val="24"/>
          <w:szCs w:val="24"/>
          <w:rtl w:val="0"/>
        </w:rPr>
        <w:t xml:space="preserve">, 75(0965-8564), 252–267. https://doi.org/10.1016/j.tra.2015.03.027</w:t>
      </w:r>
    </w:p>
    <w:p w:rsidR="00000000" w:rsidDel="00000000" w:rsidP="00000000" w:rsidRDefault="00000000" w:rsidRPr="00000000" w14:paraId="00000334">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Asian Transport Outlook (ATO). (2023). “2023 CLIMATE TRACKER FOR TRANSPORT IN ASIA &amp; PACIFIC”. Retrieved from https://asiantransportobservatory.org/documents/70/ATO_COP28_Climate_tracker_-_final.pdf#:~:text=Asia%20currently%20contributes%20about%2038,rate%20of%20transport%20CO2%20emissions</w:t>
      </w:r>
    </w:p>
    <w:p w:rsidR="00000000" w:rsidDel="00000000" w:rsidP="00000000" w:rsidRDefault="00000000" w:rsidRPr="00000000" w14:paraId="00000335">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Asian Transport Outlook (ATO). (2024). “Transport and Climate Profile: Viet Nam”. Retrieved from https://asiantransportobservatory.org/documents/223/Viet_Nam-transport-and-climate-policy.pdf</w:t>
      </w:r>
    </w:p>
    <w:p w:rsidR="00000000" w:rsidDel="00000000" w:rsidP="00000000" w:rsidRDefault="00000000" w:rsidRPr="00000000" w14:paraId="00000336">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Broniewicz, E., &amp; Ogrodnik, K. (2021). “A Comparative Evaluation of Multi-Criteria Analysis Methods for Sustainable Transport”. </w:t>
      </w:r>
      <w:r w:rsidDel="00000000" w:rsidR="00000000" w:rsidRPr="00000000">
        <w:rPr>
          <w:rFonts w:ascii="Times New Roman" w:cs="Times New Roman" w:eastAsia="Times New Roman" w:hAnsi="Times New Roman"/>
          <w:i w:val="1"/>
          <w:iCs w:val="1"/>
          <w:sz w:val="24"/>
          <w:szCs w:val="24"/>
          <w:rtl w:val="0"/>
        </w:rPr>
        <w:t xml:space="preserve">Energies</w:t>
      </w:r>
      <w:r w:rsidDel="00000000" w:rsidR="00000000" w:rsidRPr="00000000">
        <w:rPr>
          <w:rFonts w:ascii="Times New Roman" w:cs="Times New Roman" w:eastAsia="Times New Roman" w:hAnsi="Times New Roman"/>
          <w:sz w:val="24"/>
          <w:szCs w:val="24"/>
          <w:rtl w:val="0"/>
        </w:rPr>
        <w:t xml:space="preserve">, 14(16), 5100. https://doi.org/10.3390/en14165100</w:t>
      </w:r>
    </w:p>
    <w:p w:rsidR="00000000" w:rsidDel="00000000" w:rsidP="00000000" w:rsidRDefault="00000000" w:rsidRPr="00000000" w14:paraId="00000337">
      <w:pPr>
        <w:spacing w:after="120" w:line="288" w:lineRule="auto"/>
        <w:ind w:firstLine="4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Climate Action Accelerator. (2024). “Sea freight: a key lever to reduce transport emissions”. </w:t>
      </w:r>
      <w:r w:rsidDel="00000000" w:rsidR="00000000" w:rsidRPr="00000000">
        <w:rPr>
          <w:rFonts w:ascii="Times New Roman" w:cs="Times New Roman" w:eastAsia="Times New Roman" w:hAnsi="Times New Roman"/>
          <w:i w:val="1"/>
          <w:iCs w:val="1"/>
          <w:sz w:val="24"/>
          <w:szCs w:val="24"/>
          <w:rtl w:val="0"/>
        </w:rPr>
        <w:t xml:space="preserve">Climateactionaccelerator.org</w:t>
      </w:r>
      <w:r w:rsidDel="00000000" w:rsidR="00000000" w:rsidRPr="00000000">
        <w:rPr>
          <w:rFonts w:ascii="Times New Roman" w:cs="Times New Roman" w:eastAsia="Times New Roman" w:hAnsi="Times New Roman"/>
          <w:sz w:val="24"/>
          <w:szCs w:val="24"/>
          <w:rtl w:val="0"/>
        </w:rPr>
        <w:t xml:space="preserve">. https://climateactionaccelerator.org/solutions/sea_freight/</w:t>
      </w:r>
    </w:p>
    <w:p w:rsidR="00000000" w:rsidDel="00000000" w:rsidP="00000000" w:rsidRDefault="00000000" w:rsidRPr="00000000" w14:paraId="00000338">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Fulzele, V., Shankar, R., &amp; Choudhary, D. (2019). “A model for the selection of transportation modes in the context of sustainable freight transportation”. </w:t>
      </w:r>
      <w:r w:rsidDel="00000000" w:rsidR="00000000" w:rsidRPr="00000000">
        <w:rPr>
          <w:rFonts w:ascii="Times New Roman" w:cs="Times New Roman" w:eastAsia="Times New Roman" w:hAnsi="Times New Roman"/>
          <w:i w:val="1"/>
          <w:iCs w:val="1"/>
          <w:sz w:val="24"/>
          <w:szCs w:val="24"/>
          <w:rtl w:val="0"/>
        </w:rPr>
        <w:t xml:space="preserve">Industrial Management &amp; Data Systems</w:t>
      </w:r>
      <w:r w:rsidDel="00000000" w:rsidR="00000000" w:rsidRPr="00000000">
        <w:rPr>
          <w:rFonts w:ascii="Times New Roman" w:cs="Times New Roman" w:eastAsia="Times New Roman" w:hAnsi="Times New Roman"/>
          <w:sz w:val="24"/>
          <w:szCs w:val="24"/>
          <w:rtl w:val="0"/>
        </w:rPr>
        <w:t xml:space="preserve">, 119(8), 1764–1784. https://doi.org/10.1108/imds-03-2019-0169</w:t>
      </w:r>
    </w:p>
    <w:p w:rsidR="00000000" w:rsidDel="00000000" w:rsidP="00000000" w:rsidRDefault="00000000" w:rsidRPr="00000000" w14:paraId="00000339">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Hoen, K. M. R., Tan, T., Fransoo, J. C., &amp; Van Houtum, G. J. (2012). “Effect of carbon emission regulations on transport mode selection under stochastic demand”. </w:t>
      </w:r>
      <w:r w:rsidDel="00000000" w:rsidR="00000000" w:rsidRPr="00000000">
        <w:rPr>
          <w:rFonts w:ascii="Times New Roman" w:cs="Times New Roman" w:eastAsia="Times New Roman" w:hAnsi="Times New Roman"/>
          <w:i w:val="1"/>
          <w:iCs w:val="1"/>
          <w:sz w:val="24"/>
          <w:szCs w:val="24"/>
          <w:rtl w:val="0"/>
        </w:rPr>
        <w:t xml:space="preserve">Flexible Services and Manufacturing Journal</w:t>
      </w:r>
      <w:r w:rsidDel="00000000" w:rsidR="00000000" w:rsidRPr="00000000">
        <w:rPr>
          <w:rFonts w:ascii="Times New Roman" w:cs="Times New Roman" w:eastAsia="Times New Roman" w:hAnsi="Times New Roman"/>
          <w:sz w:val="24"/>
          <w:szCs w:val="24"/>
          <w:rtl w:val="0"/>
        </w:rPr>
        <w:t xml:space="preserve">, 26(1–2), 170–195. https://doi.org/10.1007/s10696-012-9151-6</w:t>
      </w:r>
    </w:p>
    <w:p w:rsidR="00000000" w:rsidDel="00000000" w:rsidP="00000000" w:rsidRDefault="00000000" w:rsidRPr="00000000" w14:paraId="0000033A">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Hz-containers. (2024). “Yangshan Terminal”. </w:t>
      </w:r>
      <w:r w:rsidDel="00000000" w:rsidR="00000000" w:rsidRPr="00000000">
        <w:rPr>
          <w:rFonts w:ascii="Times New Roman" w:cs="Times New Roman" w:eastAsia="Times New Roman" w:hAnsi="Times New Roman"/>
          <w:i w:val="1"/>
          <w:iCs w:val="1"/>
          <w:sz w:val="24"/>
          <w:szCs w:val="24"/>
          <w:rtl w:val="0"/>
        </w:rPr>
        <w:t xml:space="preserve">Hz-containers.com</w:t>
      </w:r>
      <w:r w:rsidDel="00000000" w:rsidR="00000000" w:rsidRPr="00000000">
        <w:rPr>
          <w:rFonts w:ascii="Times New Roman" w:cs="Times New Roman" w:eastAsia="Times New Roman" w:hAnsi="Times New Roman"/>
          <w:sz w:val="24"/>
          <w:szCs w:val="24"/>
          <w:rtl w:val="0"/>
        </w:rPr>
        <w:t xml:space="preserve">, website: https://hz-containers.com/en/news/yangshan-terminal/</w:t>
      </w:r>
    </w:p>
    <w:p w:rsidR="00000000" w:rsidDel="00000000" w:rsidP="00000000" w:rsidRDefault="00000000" w:rsidRPr="00000000" w14:paraId="0000033B">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Konstantinus, A., Zuidgeest, M., Hess, S., &amp; de Jong, G. (2020). “Assessing inter-urban freight mode choice preference for short-sea shipping in the Southern African Development Community region”. </w:t>
      </w:r>
      <w:r w:rsidDel="00000000" w:rsidR="00000000" w:rsidRPr="00000000">
        <w:rPr>
          <w:rFonts w:ascii="Times New Roman" w:cs="Times New Roman" w:eastAsia="Times New Roman" w:hAnsi="Times New Roman"/>
          <w:i w:val="1"/>
          <w:iCs w:val="1"/>
          <w:sz w:val="24"/>
          <w:szCs w:val="24"/>
          <w:rtl w:val="0"/>
        </w:rPr>
        <w:t xml:space="preserve">Journal of Transport Geography</w:t>
      </w:r>
      <w:r w:rsidDel="00000000" w:rsidR="00000000" w:rsidRPr="00000000">
        <w:rPr>
          <w:rFonts w:ascii="Times New Roman" w:cs="Times New Roman" w:eastAsia="Times New Roman" w:hAnsi="Times New Roman"/>
          <w:sz w:val="24"/>
          <w:szCs w:val="24"/>
          <w:rtl w:val="0"/>
        </w:rPr>
        <w:t xml:space="preserve">, 88(0966-6923), 102816. https://doi.org/10.1016/j.jtrangeo.2020.102816</w:t>
      </w:r>
    </w:p>
    <w:p w:rsidR="00000000" w:rsidDel="00000000" w:rsidP="00000000" w:rsidRDefault="00000000" w:rsidRPr="00000000" w14:paraId="0000033C">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Krauth, M., Ribesmeier, M., &amp; Bešinović, N. (2025). “Optimising mode choice in a bi-modal freight network considering sustainability and urban logistic stakeholder perspectives”. </w:t>
      </w:r>
      <w:r w:rsidDel="00000000" w:rsidR="00000000" w:rsidRPr="00000000">
        <w:rPr>
          <w:rFonts w:ascii="Times New Roman" w:cs="Times New Roman" w:eastAsia="Times New Roman" w:hAnsi="Times New Roman"/>
          <w:i w:val="1"/>
          <w:iCs w:val="1"/>
          <w:sz w:val="24"/>
          <w:szCs w:val="24"/>
          <w:rtl w:val="0"/>
        </w:rPr>
        <w:t xml:space="preserve">Transportation Research Interdisciplinary Perspectives</w:t>
      </w:r>
      <w:r w:rsidDel="00000000" w:rsidR="00000000" w:rsidRPr="00000000">
        <w:rPr>
          <w:rFonts w:ascii="Times New Roman" w:cs="Times New Roman" w:eastAsia="Times New Roman" w:hAnsi="Times New Roman"/>
          <w:sz w:val="24"/>
          <w:szCs w:val="24"/>
          <w:rtl w:val="0"/>
        </w:rPr>
        <w:t xml:space="preserve">, 31, 101442. https://doi.org/10.1016/j.trip.2025.101442</w:t>
      </w:r>
    </w:p>
    <w:p w:rsidR="00000000" w:rsidDel="00000000" w:rsidP="00000000" w:rsidRDefault="00000000" w:rsidRPr="00000000" w14:paraId="0000033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Kundu, P., Kar, S., &amp; Maiti, M. (2015). “A fuzzy multi-criteria group decision making based on ranking interval type-2 fuzzy variables and an application to transportation mode selection problem”. </w:t>
      </w:r>
      <w:r w:rsidDel="00000000" w:rsidR="00000000" w:rsidRPr="00000000">
        <w:rPr>
          <w:rFonts w:ascii="Times New Roman" w:cs="Times New Roman" w:eastAsia="Times New Roman" w:hAnsi="Times New Roman"/>
          <w:i w:val="1"/>
          <w:iCs w:val="1"/>
          <w:sz w:val="24"/>
          <w:szCs w:val="24"/>
          <w:rtl w:val="0"/>
        </w:rPr>
        <w:t xml:space="preserve">Soft Computing</w:t>
      </w:r>
      <w:r w:rsidDel="00000000" w:rsidR="00000000" w:rsidRPr="00000000">
        <w:rPr>
          <w:rFonts w:ascii="Times New Roman" w:cs="Times New Roman" w:eastAsia="Times New Roman" w:hAnsi="Times New Roman"/>
          <w:sz w:val="24"/>
          <w:szCs w:val="24"/>
          <w:rtl w:val="0"/>
        </w:rPr>
        <w:t xml:space="preserve">, 21(11), 3051–3062. https://doi.org/10.1007/s00500-015-1990-0</w:t>
      </w:r>
    </w:p>
    <w:p w:rsidR="00000000" w:rsidDel="00000000" w:rsidP="00000000" w:rsidRDefault="00000000" w:rsidRPr="00000000" w14:paraId="0000033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 Climate Portal. (n.d.). “Freight transportation”. https://climate.mit.edu/explainers/freight-transportation</w:t>
      </w:r>
    </w:p>
    <w:p w:rsidR="00000000" w:rsidDel="00000000" w:rsidP="00000000" w:rsidRDefault="00000000" w:rsidRPr="00000000" w14:paraId="0000033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Rail and Road. (2024). “Rail environment”. https://dataportal.orr.gov.uk/media/q34mblpr/rail-environment-2023-24.pdf</w:t>
      </w:r>
    </w:p>
    <w:p w:rsidR="00000000" w:rsidDel="00000000" w:rsidP="00000000" w:rsidRDefault="00000000" w:rsidRPr="00000000" w14:paraId="00000340">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Rajadurai, M., &amp; Kaliyaperumal, P. (2025). “Optimizing Multimodal Transportation: A Novel Decision-Making Approach with Fuzzy Risk Assessment”. </w:t>
      </w:r>
      <w:r w:rsidDel="00000000" w:rsidR="00000000" w:rsidRPr="00000000">
        <w:rPr>
          <w:rFonts w:ascii="Times New Roman" w:cs="Times New Roman" w:eastAsia="Times New Roman" w:hAnsi="Times New Roman"/>
          <w:i w:val="1"/>
          <w:iCs w:val="1"/>
          <w:sz w:val="24"/>
          <w:szCs w:val="24"/>
          <w:rtl w:val="0"/>
        </w:rPr>
        <w:t xml:space="preserve">IEEE Access</w:t>
      </w:r>
      <w:r w:rsidDel="00000000" w:rsidR="00000000" w:rsidRPr="00000000">
        <w:rPr>
          <w:rFonts w:ascii="Times New Roman" w:cs="Times New Roman" w:eastAsia="Times New Roman" w:hAnsi="Times New Roman"/>
          <w:sz w:val="24"/>
          <w:szCs w:val="24"/>
          <w:rtl w:val="0"/>
        </w:rPr>
        <w:t xml:space="preserve">, 13, 1–1. https://doi.org/10.1109/access.2025.3528037</w:t>
      </w:r>
    </w:p>
    <w:p w:rsidR="00000000" w:rsidDel="00000000" w:rsidP="00000000" w:rsidRDefault="00000000" w:rsidRPr="00000000" w14:paraId="0000034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Reis, V. (2014). “Analysis of mode choice variables in short-distance intermodal freight transport using an agent-based model”. </w:t>
      </w:r>
      <w:r w:rsidDel="00000000" w:rsidR="00000000" w:rsidRPr="00000000">
        <w:rPr>
          <w:rFonts w:ascii="Times New Roman" w:cs="Times New Roman" w:eastAsia="Times New Roman" w:hAnsi="Times New Roman"/>
          <w:i w:val="1"/>
          <w:iCs w:val="1"/>
          <w:sz w:val="24"/>
          <w:szCs w:val="24"/>
          <w:rtl w:val="0"/>
        </w:rPr>
        <w:t xml:space="preserve">Transportation Research Part a Policy and Practice</w:t>
      </w:r>
      <w:r w:rsidDel="00000000" w:rsidR="00000000" w:rsidRPr="00000000">
        <w:rPr>
          <w:rFonts w:ascii="Times New Roman" w:cs="Times New Roman" w:eastAsia="Times New Roman" w:hAnsi="Times New Roman"/>
          <w:sz w:val="24"/>
          <w:szCs w:val="24"/>
          <w:rtl w:val="0"/>
        </w:rPr>
        <w:t xml:space="preserve">, 61, 100–120. https://doi.org/10.1016/j.tra.2014.01.002</w:t>
      </w:r>
    </w:p>
    <w:p w:rsidR="00000000" w:rsidDel="00000000" w:rsidP="00000000" w:rsidRDefault="00000000" w:rsidRPr="00000000" w14:paraId="00000342">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WTO VCCI (2025). “Vietnam-China trade exceeds US$205 billion in 2024”. Retrieved from https://wtocenter.vn/chuyen-de/26945-vietnam-china-trade-exceeds-us205-billion-in-2024#:~:text=China%20also%20continues%20to%20be,total%20trade%20turnover%20in%202024</w:t>
      </w:r>
    </w:p>
    <w:p w:rsidR="00000000" w:rsidDel="00000000" w:rsidP="00000000" w:rsidRDefault="00000000" w:rsidRPr="00000000" w14:paraId="00000343">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Xuan Nghi (2025). “Three Vietnamese seaports among world’s top 50 in container throughput”. </w:t>
      </w:r>
      <w:r w:rsidDel="00000000" w:rsidR="00000000" w:rsidRPr="00000000">
        <w:rPr>
          <w:rFonts w:ascii="Times New Roman" w:cs="Times New Roman" w:eastAsia="Times New Roman" w:hAnsi="Times New Roman"/>
          <w:i w:val="1"/>
          <w:iCs w:val="1"/>
          <w:sz w:val="24"/>
          <w:szCs w:val="24"/>
          <w:rtl w:val="0"/>
        </w:rPr>
        <w:t xml:space="preserve">Vietnam Economic Times</w:t>
      </w:r>
      <w:r w:rsidDel="00000000" w:rsidR="00000000" w:rsidRPr="00000000">
        <w:rPr>
          <w:rFonts w:ascii="Times New Roman" w:cs="Times New Roman" w:eastAsia="Times New Roman" w:hAnsi="Times New Roman"/>
          <w:sz w:val="24"/>
          <w:szCs w:val="24"/>
          <w:rtl w:val="0"/>
        </w:rPr>
        <w:t xml:space="preserve">, website: https://vneconomy.vn/three-vietnamese-seaports-among-worlds-top-50-in-container-throughput.htm</w:t>
      </w:r>
    </w:p>
    <w:p w:rsidR="00000000" w:rsidDel="00000000" w:rsidP="00000000" w:rsidRDefault="00000000" w:rsidRPr="00000000" w14:paraId="00000344">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Zaid, F., Gazder, U., &amp; Barbieri, D. M. (2024). “Multi-criteria analysis for freight transport decision-making with fuzzy analytic hierarchy process: A top management’s perspective for Bahrain”. </w:t>
      </w:r>
      <w:r w:rsidDel="00000000" w:rsidR="00000000" w:rsidRPr="00000000">
        <w:rPr>
          <w:rFonts w:ascii="Times New Roman" w:cs="Times New Roman" w:eastAsia="Times New Roman" w:hAnsi="Times New Roman"/>
          <w:i w:val="1"/>
          <w:iCs w:val="1"/>
          <w:sz w:val="24"/>
          <w:szCs w:val="24"/>
          <w:rtl w:val="0"/>
        </w:rPr>
        <w:t xml:space="preserve">Transportation Research Interdisciplinary Perspectives</w:t>
      </w:r>
      <w:r w:rsidDel="00000000" w:rsidR="00000000" w:rsidRPr="00000000">
        <w:rPr>
          <w:rFonts w:ascii="Times New Roman" w:cs="Times New Roman" w:eastAsia="Times New Roman" w:hAnsi="Times New Roman"/>
          <w:sz w:val="24"/>
          <w:szCs w:val="24"/>
          <w:rtl w:val="0"/>
        </w:rPr>
        <w:t xml:space="preserve">, 23, 101017. https://doi.org/10.1016/j.trip.2024.101017</w:t>
      </w:r>
    </w:p>
    <w:p w:rsidR="00000000" w:rsidDel="00000000" w:rsidP="00000000" w:rsidRDefault="00000000" w:rsidRPr="00000000" w14:paraId="00000345">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sectPr>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46">
      <w:pPr>
        <w:spacing w:before="20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Tác giả liên hệ, Email: k62.2312535004@ftu.edu.vn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D3B1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D3B15"/>
    <w:pPr>
      <w:ind w:left="720"/>
      <w:contextualSpacing w:val="1"/>
    </w:pPr>
  </w:style>
  <w:style w:type="paragraph" w:styleId="Header">
    <w:name w:val="header"/>
    <w:basedOn w:val="Normal"/>
    <w:link w:val="HeaderChar"/>
    <w:uiPriority w:val="99"/>
    <w:unhideWhenUsed w:val="1"/>
    <w:rsid w:val="00C76B77"/>
    <w:pPr>
      <w:tabs>
        <w:tab w:val="center" w:pos="4680"/>
        <w:tab w:val="right" w:pos="9360"/>
      </w:tabs>
      <w:spacing w:line="240" w:lineRule="auto"/>
    </w:pPr>
  </w:style>
  <w:style w:type="character" w:styleId="HeaderChar" w:customStyle="1">
    <w:name w:val="Header Char"/>
    <w:basedOn w:val="DefaultParagraphFont"/>
    <w:link w:val="Header"/>
    <w:uiPriority w:val="99"/>
    <w:rsid w:val="00C76B77"/>
  </w:style>
  <w:style w:type="paragraph" w:styleId="Footer">
    <w:name w:val="footer"/>
    <w:basedOn w:val="Normal"/>
    <w:link w:val="FooterChar"/>
    <w:uiPriority w:val="99"/>
    <w:unhideWhenUsed w:val="1"/>
    <w:rsid w:val="00C76B77"/>
    <w:pPr>
      <w:tabs>
        <w:tab w:val="center" w:pos="4680"/>
        <w:tab w:val="right" w:pos="9360"/>
      </w:tabs>
      <w:spacing w:line="240" w:lineRule="auto"/>
    </w:pPr>
  </w:style>
  <w:style w:type="character" w:styleId="FooterChar" w:customStyle="1">
    <w:name w:val="Footer Char"/>
    <w:basedOn w:val="DefaultParagraphFont"/>
    <w:link w:val="Footer"/>
    <w:uiPriority w:val="99"/>
    <w:rsid w:val="00C76B77"/>
  </w:style>
  <w:style w:type="character" w:styleId="PlaceholderText">
    <w:name w:val="Placeholder Text"/>
    <w:basedOn w:val="DefaultParagraphFont"/>
    <w:uiPriority w:val="99"/>
    <w:semiHidden w:val="1"/>
    <w:rsid w:val="004B6D9D"/>
    <w:rPr>
      <w:color w:val="666666"/>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1wJbsFXmaA+DkBpNydXNPoTTLA==">CgMxLjAaJQoBMBIgCh4IB0IaCg9UaW1lcyBOZXcgUm9tYW4SB0d1bmdzdWgaJAoBMRIfCh0IB0IZCg9UaW1lcyBOZXcgUm9tYW4SBkNhdWRleDIOaC4yOXpueGpvNHRvZDQ4AHIhMVF3WXE4b3ByMHAzR3M3c0p2TDdidWtwR0gzeXBTdDBU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2025-01-02T06:10:00Z</dcterms:created>
</cp:coreProperties>
</file>